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28" w:rsidRDefault="00AD7728" w:rsidP="00AD7728">
      <w:pPr>
        <w:pStyle w:val="Heading1"/>
        <w:spacing w:before="90" w:line="271" w:lineRule="auto"/>
        <w:ind w:left="4422" w:right="1513"/>
      </w:pPr>
      <w:r>
        <w:t>Appendix 1: An Audit Tool to Assess Compliance w</w:t>
      </w:r>
      <w:r>
        <w:t>ith t</w:t>
      </w:r>
      <w:r>
        <w:t xml:space="preserve">he BCSH Guidelines </w:t>
      </w:r>
      <w:r>
        <w:t>f</w:t>
      </w:r>
      <w:bookmarkStart w:id="0" w:name="_GoBack"/>
      <w:bookmarkEnd w:id="0"/>
      <w:r>
        <w:t>or Blood Grouping and Red Cell Antibody Testing In Pregnancy</w:t>
      </w:r>
    </w:p>
    <w:p w:rsidR="00AD7728" w:rsidRDefault="00AD7728" w:rsidP="00AD7728">
      <w:pPr>
        <w:pStyle w:val="BodyText"/>
        <w:spacing w:before="8"/>
        <w:rPr>
          <w:b/>
          <w:sz w:val="8"/>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897255</wp:posOffset>
                </wp:positionH>
                <wp:positionV relativeFrom="paragraph">
                  <wp:posOffset>92075</wp:posOffset>
                </wp:positionV>
                <wp:extent cx="8900160" cy="0"/>
                <wp:effectExtent l="11430" t="5715" r="13335" b="1333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016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C2B4"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7.25pt" to="77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" strokeweight=".16922mm">
                <w10:wrap type="topAndBottom" anchorx="page"/>
              </v:line>
            </w:pict>
          </mc:Fallback>
        </mc:AlternateContent>
      </w:r>
    </w:p>
    <w:p w:rsidR="00AD7728" w:rsidRDefault="00AD7728" w:rsidP="00AD7728">
      <w:pPr>
        <w:pStyle w:val="BodyText"/>
        <w:spacing w:before="11"/>
        <w:rPr>
          <w:b/>
          <w:sz w:val="1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5232"/>
        <w:gridCol w:w="1579"/>
        <w:gridCol w:w="4233"/>
        <w:gridCol w:w="1843"/>
      </w:tblGrid>
      <w:tr w:rsidR="00AD7728" w:rsidTr="00C84174">
        <w:trPr>
          <w:trHeight w:val="782"/>
        </w:trPr>
        <w:tc>
          <w:tcPr>
            <w:tcW w:w="2136" w:type="dxa"/>
            <w:shd w:val="clear" w:color="auto" w:fill="D9D9D9"/>
          </w:tcPr>
          <w:p w:rsidR="00AD7728" w:rsidRDefault="00AD7728" w:rsidP="00C84174">
            <w:pPr>
              <w:pStyle w:val="TableParagraph"/>
              <w:spacing w:line="243" w:lineRule="exact"/>
              <w:ind w:left="105"/>
              <w:rPr>
                <w:b/>
              </w:rPr>
            </w:pPr>
            <w:r>
              <w:rPr>
                <w:b/>
              </w:rPr>
              <w:t>Section</w:t>
            </w:r>
          </w:p>
        </w:tc>
        <w:tc>
          <w:tcPr>
            <w:tcW w:w="5232" w:type="dxa"/>
            <w:shd w:val="clear" w:color="auto" w:fill="D9D9D9"/>
          </w:tcPr>
          <w:p w:rsidR="00AD7728" w:rsidRDefault="00AD7728" w:rsidP="00C84174">
            <w:pPr>
              <w:pStyle w:val="TableParagraph"/>
              <w:spacing w:line="243" w:lineRule="exact"/>
              <w:ind w:left="158"/>
              <w:rPr>
                <w:b/>
              </w:rPr>
            </w:pPr>
            <w:r>
              <w:rPr>
                <w:b/>
              </w:rPr>
              <w:t>Criteria</w:t>
            </w:r>
          </w:p>
        </w:tc>
        <w:tc>
          <w:tcPr>
            <w:tcW w:w="1579" w:type="dxa"/>
            <w:shd w:val="clear" w:color="auto" w:fill="D9D9D9"/>
          </w:tcPr>
          <w:p w:rsidR="00AD7728" w:rsidRDefault="00AD7728" w:rsidP="00C84174">
            <w:pPr>
              <w:pStyle w:val="TableParagraph"/>
              <w:tabs>
                <w:tab w:val="left" w:pos="565"/>
                <w:tab w:val="left" w:pos="968"/>
              </w:tabs>
              <w:spacing w:line="278" w:lineRule="auto"/>
              <w:ind w:left="110" w:right="210"/>
              <w:rPr>
                <w:b/>
              </w:rPr>
            </w:pPr>
            <w:r>
              <w:rPr>
                <w:b/>
                <w:spacing w:val="-1"/>
              </w:rPr>
              <w:t xml:space="preserve">Compliance </w:t>
            </w:r>
            <w:r>
              <w:rPr>
                <w:b/>
              </w:rPr>
              <w:t>Y</w:t>
            </w:r>
            <w:r>
              <w:rPr>
                <w:b/>
              </w:rPr>
              <w:tab/>
              <w:t>N</w:t>
            </w:r>
            <w:r>
              <w:rPr>
                <w:b/>
              </w:rPr>
              <w:tab/>
              <w:t>N/A</w:t>
            </w:r>
          </w:p>
        </w:tc>
        <w:tc>
          <w:tcPr>
            <w:tcW w:w="4233" w:type="dxa"/>
            <w:shd w:val="clear" w:color="auto" w:fill="D9D9D9"/>
          </w:tcPr>
          <w:p w:rsidR="00AD7728" w:rsidRDefault="00AD7728" w:rsidP="00C84174">
            <w:pPr>
              <w:pStyle w:val="TableParagraph"/>
              <w:spacing w:line="243" w:lineRule="exact"/>
              <w:ind w:left="105"/>
              <w:rPr>
                <w:b/>
              </w:rPr>
            </w:pPr>
            <w:r>
              <w:rPr>
                <w:b/>
              </w:rPr>
              <w:t>Action Required</w:t>
            </w:r>
          </w:p>
        </w:tc>
        <w:tc>
          <w:tcPr>
            <w:tcW w:w="1843" w:type="dxa"/>
            <w:shd w:val="clear" w:color="auto" w:fill="D9D9D9"/>
          </w:tcPr>
          <w:p w:rsidR="00AD7728" w:rsidRDefault="00AD7728" w:rsidP="00C84174">
            <w:pPr>
              <w:pStyle w:val="TableParagraph"/>
              <w:spacing w:line="278" w:lineRule="auto"/>
              <w:ind w:left="111" w:right="210"/>
              <w:rPr>
                <w:b/>
              </w:rPr>
            </w:pPr>
            <w:r>
              <w:rPr>
                <w:b/>
              </w:rPr>
              <w:t>To be completed by:</w:t>
            </w:r>
          </w:p>
        </w:tc>
      </w:tr>
      <w:tr w:rsidR="00AD7728" w:rsidTr="00C84174">
        <w:trPr>
          <w:trHeight w:val="489"/>
        </w:trPr>
        <w:tc>
          <w:tcPr>
            <w:tcW w:w="2136" w:type="dxa"/>
            <w:shd w:val="clear" w:color="auto" w:fill="D9D9D9"/>
          </w:tcPr>
          <w:p w:rsidR="00AD7728" w:rsidRDefault="00AD7728" w:rsidP="00C84174">
            <w:pPr>
              <w:pStyle w:val="TableParagraph"/>
              <w:spacing w:line="243" w:lineRule="exact"/>
              <w:ind w:left="105"/>
              <w:rPr>
                <w:b/>
              </w:rPr>
            </w:pPr>
            <w:r>
              <w:rPr>
                <w:b/>
              </w:rPr>
              <w:t>Section 1</w:t>
            </w:r>
          </w:p>
        </w:tc>
        <w:tc>
          <w:tcPr>
            <w:tcW w:w="5232" w:type="dxa"/>
            <w:shd w:val="clear" w:color="auto" w:fill="D9D9D9"/>
          </w:tcPr>
          <w:p w:rsidR="00AD7728" w:rsidRDefault="00AD7728" w:rsidP="00C84174">
            <w:pPr>
              <w:pStyle w:val="TableParagraph"/>
              <w:spacing w:line="243" w:lineRule="exact"/>
              <w:ind w:left="158"/>
              <w:rPr>
                <w:b/>
              </w:rPr>
            </w:pPr>
            <w:r>
              <w:rPr>
                <w:b/>
              </w:rPr>
              <w:t>Consent, Samples And Request Forms</w:t>
            </w:r>
          </w:p>
        </w:tc>
        <w:tc>
          <w:tcPr>
            <w:tcW w:w="1579" w:type="dxa"/>
            <w:shd w:val="clear" w:color="auto" w:fill="D9D9D9"/>
          </w:tcPr>
          <w:p w:rsidR="00AD7728" w:rsidRDefault="00AD7728" w:rsidP="00C84174">
            <w:pPr>
              <w:pStyle w:val="TableParagraph"/>
              <w:rPr>
                <w:rFonts w:ascii="Times New Roman"/>
              </w:rPr>
            </w:pPr>
          </w:p>
        </w:tc>
        <w:tc>
          <w:tcPr>
            <w:tcW w:w="4233" w:type="dxa"/>
            <w:shd w:val="clear" w:color="auto" w:fill="D9D9D9"/>
          </w:tcPr>
          <w:p w:rsidR="00AD7728" w:rsidRDefault="00AD7728" w:rsidP="00C84174">
            <w:pPr>
              <w:pStyle w:val="TableParagraph"/>
              <w:rPr>
                <w:rFonts w:ascii="Times New Roman"/>
              </w:rPr>
            </w:pPr>
          </w:p>
        </w:tc>
        <w:tc>
          <w:tcPr>
            <w:tcW w:w="1843" w:type="dxa"/>
            <w:shd w:val="clear" w:color="auto" w:fill="D9D9D9"/>
          </w:tcPr>
          <w:p w:rsidR="00AD7728" w:rsidRDefault="00AD7728" w:rsidP="00C84174">
            <w:pPr>
              <w:pStyle w:val="TableParagraph"/>
              <w:rPr>
                <w:rFonts w:ascii="Times New Roman"/>
              </w:rPr>
            </w:pPr>
          </w:p>
        </w:tc>
      </w:tr>
      <w:tr w:rsidR="00AD7728" w:rsidTr="00C84174">
        <w:trPr>
          <w:trHeight w:val="1367"/>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371"/>
            </w:pPr>
            <w:r>
              <w:t>Samples for antenatal screening are identified to the same standard BCSH guideline for pre- transfusion compatibility procedures in blood transfusion laboratories.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650"/>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145"/>
            </w:pPr>
            <w:r>
              <w:t>Samples are dated, labelled and signed by the person taking them, in the presence of the woman who should be positively identified. Sample Labels pre-printed away from the phlebotomy procedure are not be used.</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367"/>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58" w:right="200"/>
            </w:pPr>
            <w:r>
              <w:t>Details (including date and dose) of any previous administrations of anti-D Ig given in the current pregnancy are recorded on the laboratory request form</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070"/>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58" w:right="263"/>
            </w:pPr>
            <w:r>
              <w:t>The woman’s clinical history particularly of HDFN and previous transfusions is recorded on the laboratory request form</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489"/>
        </w:trPr>
        <w:tc>
          <w:tcPr>
            <w:tcW w:w="2136" w:type="dxa"/>
            <w:shd w:val="clear" w:color="auto" w:fill="D9D9D9"/>
          </w:tcPr>
          <w:p w:rsidR="00AD7728" w:rsidRDefault="00AD7728" w:rsidP="00C84174">
            <w:pPr>
              <w:pStyle w:val="TableParagraph"/>
              <w:spacing w:line="243" w:lineRule="exact"/>
              <w:ind w:left="105"/>
              <w:rPr>
                <w:b/>
              </w:rPr>
            </w:pPr>
            <w:r>
              <w:rPr>
                <w:b/>
              </w:rPr>
              <w:t>Section 2</w:t>
            </w:r>
          </w:p>
        </w:tc>
        <w:tc>
          <w:tcPr>
            <w:tcW w:w="5232" w:type="dxa"/>
            <w:shd w:val="clear" w:color="auto" w:fill="D9D9D9"/>
          </w:tcPr>
          <w:p w:rsidR="00AD7728" w:rsidRDefault="00AD7728" w:rsidP="00C84174">
            <w:pPr>
              <w:pStyle w:val="TableParagraph"/>
              <w:spacing w:line="243" w:lineRule="exact"/>
              <w:ind w:left="158"/>
              <w:rPr>
                <w:b/>
              </w:rPr>
            </w:pPr>
            <w:r>
              <w:rPr>
                <w:b/>
              </w:rPr>
              <w:t>Laboratory Tests</w:t>
            </w:r>
          </w:p>
        </w:tc>
        <w:tc>
          <w:tcPr>
            <w:tcW w:w="1579" w:type="dxa"/>
            <w:shd w:val="clear" w:color="auto" w:fill="D9D9D9"/>
          </w:tcPr>
          <w:p w:rsidR="00AD7728" w:rsidRDefault="00AD7728" w:rsidP="00C84174">
            <w:pPr>
              <w:pStyle w:val="TableParagraph"/>
              <w:rPr>
                <w:rFonts w:ascii="Times New Roman"/>
              </w:rPr>
            </w:pPr>
          </w:p>
        </w:tc>
        <w:tc>
          <w:tcPr>
            <w:tcW w:w="4233" w:type="dxa"/>
            <w:shd w:val="clear" w:color="auto" w:fill="D9D9D9"/>
          </w:tcPr>
          <w:p w:rsidR="00AD7728" w:rsidRDefault="00AD7728" w:rsidP="00C84174">
            <w:pPr>
              <w:pStyle w:val="TableParagraph"/>
              <w:rPr>
                <w:rFonts w:ascii="Times New Roman"/>
              </w:rPr>
            </w:pPr>
          </w:p>
        </w:tc>
        <w:tc>
          <w:tcPr>
            <w:tcW w:w="1843" w:type="dxa"/>
            <w:shd w:val="clear" w:color="auto" w:fill="D9D9D9"/>
          </w:tcPr>
          <w:p w:rsidR="00AD7728" w:rsidRDefault="00AD7728" w:rsidP="00C84174">
            <w:pPr>
              <w:pStyle w:val="TableParagraph"/>
              <w:rPr>
                <w:rFonts w:ascii="Times New Roman"/>
              </w:rPr>
            </w:pPr>
          </w:p>
        </w:tc>
      </w:tr>
      <w:tr w:rsidR="00AD7728" w:rsidTr="00C84174">
        <w:trPr>
          <w:trHeight w:val="508"/>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48" w:lineRule="exact"/>
              <w:ind w:left="110"/>
            </w:pPr>
            <w:r>
              <w:t>All laboratory testing procedures are validated in</w:t>
            </w:r>
          </w:p>
          <w:p w:rsidR="00AD7728" w:rsidRDefault="00AD7728" w:rsidP="00C84174">
            <w:pPr>
              <w:pStyle w:val="TableParagraph"/>
              <w:spacing w:before="1" w:line="239" w:lineRule="exact"/>
              <w:ind w:left="110"/>
            </w:pPr>
            <w:r>
              <w:t>compliance with published guidelines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bl>
    <w:p w:rsidR="00AD7728" w:rsidRDefault="00AD7728" w:rsidP="00AD7728">
      <w:pPr>
        <w:rPr>
          <w:rFonts w:ascii="Times New Roman"/>
        </w:rPr>
        <w:sectPr w:rsidR="00AD7728">
          <w:footerReference w:type="default" r:id="rId6"/>
          <w:pgSz w:w="16840" w:h="11900" w:orient="landscape"/>
          <w:pgMar w:top="1100" w:right="120" w:bottom="600" w:left="1340" w:header="0" w:footer="403" w:gutter="0"/>
          <w:pgNumType w:start="29"/>
          <w:cols w:space="720"/>
        </w:sectPr>
      </w:pPr>
    </w:p>
    <w:p w:rsidR="00AD7728" w:rsidRDefault="00AD7728" w:rsidP="00AD7728">
      <w:pPr>
        <w:pStyle w:val="BodyText"/>
        <w:spacing w:before="6"/>
        <w:rPr>
          <w:rFonts w:ascii="Times New Roman"/>
          <w:sz w:val="2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5232"/>
        <w:gridCol w:w="1579"/>
        <w:gridCol w:w="4233"/>
        <w:gridCol w:w="1843"/>
      </w:tblGrid>
      <w:tr w:rsidR="00AD7728" w:rsidTr="00C84174">
        <w:trPr>
          <w:trHeight w:val="782"/>
        </w:trPr>
        <w:tc>
          <w:tcPr>
            <w:tcW w:w="2136" w:type="dxa"/>
            <w:shd w:val="clear" w:color="auto" w:fill="D9D9D9"/>
          </w:tcPr>
          <w:p w:rsidR="00AD7728" w:rsidRDefault="00AD7728" w:rsidP="00C84174">
            <w:pPr>
              <w:pStyle w:val="TableParagraph"/>
              <w:spacing w:line="243" w:lineRule="exact"/>
              <w:ind w:left="105"/>
              <w:rPr>
                <w:b/>
              </w:rPr>
            </w:pPr>
            <w:r>
              <w:rPr>
                <w:b/>
              </w:rPr>
              <w:t>Section</w:t>
            </w:r>
          </w:p>
        </w:tc>
        <w:tc>
          <w:tcPr>
            <w:tcW w:w="5232" w:type="dxa"/>
            <w:shd w:val="clear" w:color="auto" w:fill="D9D9D9"/>
          </w:tcPr>
          <w:p w:rsidR="00AD7728" w:rsidRDefault="00AD7728" w:rsidP="00C84174">
            <w:pPr>
              <w:pStyle w:val="TableParagraph"/>
              <w:spacing w:line="243" w:lineRule="exact"/>
              <w:ind w:left="158"/>
              <w:rPr>
                <w:b/>
              </w:rPr>
            </w:pPr>
            <w:r>
              <w:rPr>
                <w:b/>
              </w:rPr>
              <w:t>Criteria</w:t>
            </w:r>
          </w:p>
        </w:tc>
        <w:tc>
          <w:tcPr>
            <w:tcW w:w="1579" w:type="dxa"/>
            <w:shd w:val="clear" w:color="auto" w:fill="D9D9D9"/>
          </w:tcPr>
          <w:p w:rsidR="00AD7728" w:rsidRDefault="00AD7728" w:rsidP="00C84174">
            <w:pPr>
              <w:pStyle w:val="TableParagraph"/>
              <w:tabs>
                <w:tab w:val="left" w:pos="565"/>
                <w:tab w:val="left" w:pos="968"/>
              </w:tabs>
              <w:spacing w:line="278" w:lineRule="auto"/>
              <w:ind w:left="110" w:right="210"/>
              <w:rPr>
                <w:b/>
              </w:rPr>
            </w:pPr>
            <w:r>
              <w:rPr>
                <w:b/>
                <w:spacing w:val="-1"/>
              </w:rPr>
              <w:t xml:space="preserve">Compliance </w:t>
            </w:r>
            <w:r>
              <w:rPr>
                <w:b/>
              </w:rPr>
              <w:t>Y</w:t>
            </w:r>
            <w:r>
              <w:rPr>
                <w:b/>
              </w:rPr>
              <w:tab/>
              <w:t>N</w:t>
            </w:r>
            <w:r>
              <w:rPr>
                <w:b/>
              </w:rPr>
              <w:tab/>
              <w:t>N/A</w:t>
            </w:r>
          </w:p>
        </w:tc>
        <w:tc>
          <w:tcPr>
            <w:tcW w:w="4233" w:type="dxa"/>
            <w:shd w:val="clear" w:color="auto" w:fill="D9D9D9"/>
          </w:tcPr>
          <w:p w:rsidR="00AD7728" w:rsidRDefault="00AD7728" w:rsidP="00C84174">
            <w:pPr>
              <w:pStyle w:val="TableParagraph"/>
              <w:spacing w:line="243" w:lineRule="exact"/>
              <w:ind w:left="105"/>
              <w:rPr>
                <w:b/>
              </w:rPr>
            </w:pPr>
            <w:r>
              <w:rPr>
                <w:b/>
              </w:rPr>
              <w:t>Action Required</w:t>
            </w:r>
          </w:p>
        </w:tc>
        <w:tc>
          <w:tcPr>
            <w:tcW w:w="1843" w:type="dxa"/>
            <w:shd w:val="clear" w:color="auto" w:fill="D9D9D9"/>
          </w:tcPr>
          <w:p w:rsidR="00AD7728" w:rsidRDefault="00AD7728" w:rsidP="00C84174">
            <w:pPr>
              <w:pStyle w:val="TableParagraph"/>
              <w:spacing w:line="278" w:lineRule="auto"/>
              <w:ind w:left="111" w:right="210"/>
              <w:rPr>
                <w:b/>
              </w:rPr>
            </w:pPr>
            <w:r>
              <w:rPr>
                <w:b/>
              </w:rPr>
              <w:t>To be completed by:</w:t>
            </w:r>
          </w:p>
        </w:tc>
      </w:tr>
      <w:tr w:rsidR="00AD7728" w:rsidTr="00C84174">
        <w:trPr>
          <w:trHeight w:val="873"/>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48" w:lineRule="exact"/>
              <w:ind w:left="110"/>
            </w:pPr>
            <w:r>
              <w:t>ABO and D grouping is performed in accordance</w:t>
            </w:r>
          </w:p>
          <w:p w:rsidR="00AD7728" w:rsidRDefault="00AD7728" w:rsidP="00C84174">
            <w:pPr>
              <w:pStyle w:val="TableParagraph"/>
              <w:spacing w:before="12" w:line="280" w:lineRule="atLeast"/>
              <w:ind w:left="110" w:right="298"/>
            </w:pPr>
            <w:proofErr w:type="gramStart"/>
            <w:r>
              <w:t>with</w:t>
            </w:r>
            <w:proofErr w:type="gramEnd"/>
            <w:r>
              <w:t xml:space="preserve"> the guidelines for compatibility procedures in blood transfusion laboratories.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055"/>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ind w:left="110" w:right="90"/>
            </w:pPr>
            <w:r>
              <w:t>If clear-cut positive results are not obtained in D typing, women are classified as D negative until the D status is confirmed.</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012"/>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ind w:left="110" w:right="188"/>
            </w:pPr>
            <w:r>
              <w:t>All pregnant women found to be D negative are given written information about their D negative status and the importance of anti-D Ig prophylaxis.</w:t>
            </w:r>
          </w:p>
          <w:p w:rsidR="00AD7728" w:rsidRDefault="00AD7728" w:rsidP="00C84174">
            <w:pPr>
              <w:pStyle w:val="TableParagraph"/>
              <w:spacing w:line="238" w:lineRule="exact"/>
              <w:ind w:left="110"/>
            </w:pPr>
            <w:r>
              <w:t>The D status is clearly recorded in the notes.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161"/>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250"/>
              <w:jc w:val="both"/>
            </w:pPr>
            <w:r>
              <w:t>The screening cells and methods used for red cell antibody screening comply with the guidelines for compatibility procedures in blood transfusion</w:t>
            </w:r>
          </w:p>
          <w:p w:rsidR="00AD7728" w:rsidRDefault="00AD7728" w:rsidP="00C84174">
            <w:pPr>
              <w:pStyle w:val="TableParagraph"/>
              <w:spacing w:line="249" w:lineRule="exact"/>
              <w:ind w:left="110"/>
              <w:jc w:val="both"/>
            </w:pPr>
            <w:r>
              <w:t>laboratories; BCSH 2012-b.</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166"/>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62" w:right="319"/>
            </w:pPr>
            <w:r>
              <w:t>Once red cells antibodies are identified in pregnancy, the identification process is repeated with each additional sample to exclude any</w:t>
            </w:r>
          </w:p>
          <w:p w:rsidR="00AD7728" w:rsidRDefault="00AD7728" w:rsidP="00C84174">
            <w:pPr>
              <w:pStyle w:val="TableParagraph"/>
              <w:ind w:left="162"/>
            </w:pPr>
            <w:proofErr w:type="gramStart"/>
            <w:r>
              <w:t>additional</w:t>
            </w:r>
            <w:proofErr w:type="gramEnd"/>
            <w:r>
              <w:t xml:space="preserve"> clinically significant maternal antibodies.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454"/>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518"/>
              <w:jc w:val="both"/>
            </w:pPr>
            <w:r>
              <w:t>The concentration of each antibody capable of causing HDFN is assessed independently. For specificities where there is a national standard preparation, quantification is undertaken. Other</w:t>
            </w:r>
          </w:p>
          <w:p w:rsidR="00AD7728" w:rsidRDefault="00AD7728" w:rsidP="00C84174">
            <w:pPr>
              <w:pStyle w:val="TableParagraph"/>
              <w:spacing w:line="251" w:lineRule="exact"/>
              <w:ind w:left="110"/>
              <w:jc w:val="both"/>
            </w:pPr>
            <w:proofErr w:type="gramStart"/>
            <w:r>
              <w:t>antibody</w:t>
            </w:r>
            <w:proofErr w:type="gramEnd"/>
            <w:r>
              <w:t xml:space="preserve"> specificities are measured using titration.</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161"/>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62" w:right="111"/>
            </w:pPr>
            <w:r>
              <w:t>Where possible each sample for titration is tested in parallel with the previous sample and the results compared to identify significant changes in</w:t>
            </w:r>
          </w:p>
          <w:p w:rsidR="00AD7728" w:rsidRDefault="00AD7728" w:rsidP="00C84174">
            <w:pPr>
              <w:pStyle w:val="TableParagraph"/>
              <w:ind w:left="162"/>
            </w:pPr>
            <w:proofErr w:type="gramStart"/>
            <w:r>
              <w:t>antibody</w:t>
            </w:r>
            <w:proofErr w:type="gramEnd"/>
            <w:r>
              <w:t xml:space="preserve"> concentration.</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bl>
    <w:p w:rsidR="00AD7728" w:rsidRDefault="00AD7728" w:rsidP="00AD7728">
      <w:pPr>
        <w:rPr>
          <w:rFonts w:ascii="Times New Roman"/>
        </w:rPr>
        <w:sectPr w:rsidR="00AD7728">
          <w:footerReference w:type="default" r:id="rId7"/>
          <w:pgSz w:w="16840" w:h="11900" w:orient="landscape"/>
          <w:pgMar w:top="1100" w:right="120" w:bottom="600" w:left="1340" w:header="0" w:footer="403" w:gutter="0"/>
          <w:pgNumType w:start="30"/>
          <w:cols w:space="720"/>
        </w:sectPr>
      </w:pPr>
    </w:p>
    <w:p w:rsidR="00AD7728" w:rsidRDefault="00AD7728" w:rsidP="00AD7728">
      <w:pPr>
        <w:pStyle w:val="BodyText"/>
        <w:spacing w:before="6"/>
        <w:rPr>
          <w:rFonts w:ascii="Times New Roman"/>
          <w:sz w:val="2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5232"/>
        <w:gridCol w:w="1579"/>
        <w:gridCol w:w="4233"/>
        <w:gridCol w:w="1843"/>
      </w:tblGrid>
      <w:tr w:rsidR="00AD7728" w:rsidTr="00C84174">
        <w:trPr>
          <w:trHeight w:val="782"/>
        </w:trPr>
        <w:tc>
          <w:tcPr>
            <w:tcW w:w="2136" w:type="dxa"/>
            <w:shd w:val="clear" w:color="auto" w:fill="D9D9D9"/>
          </w:tcPr>
          <w:p w:rsidR="00AD7728" w:rsidRDefault="00AD7728" w:rsidP="00C84174">
            <w:pPr>
              <w:pStyle w:val="TableParagraph"/>
              <w:spacing w:line="243" w:lineRule="exact"/>
              <w:ind w:left="105"/>
              <w:rPr>
                <w:b/>
              </w:rPr>
            </w:pPr>
            <w:r>
              <w:rPr>
                <w:b/>
              </w:rPr>
              <w:t>Section</w:t>
            </w:r>
          </w:p>
        </w:tc>
        <w:tc>
          <w:tcPr>
            <w:tcW w:w="5232" w:type="dxa"/>
            <w:shd w:val="clear" w:color="auto" w:fill="D9D9D9"/>
          </w:tcPr>
          <w:p w:rsidR="00AD7728" w:rsidRDefault="00AD7728" w:rsidP="00C84174">
            <w:pPr>
              <w:pStyle w:val="TableParagraph"/>
              <w:spacing w:line="243" w:lineRule="exact"/>
              <w:ind w:left="158"/>
              <w:rPr>
                <w:b/>
              </w:rPr>
            </w:pPr>
            <w:r>
              <w:rPr>
                <w:b/>
              </w:rPr>
              <w:t>Criteria</w:t>
            </w:r>
          </w:p>
        </w:tc>
        <w:tc>
          <w:tcPr>
            <w:tcW w:w="1579" w:type="dxa"/>
            <w:shd w:val="clear" w:color="auto" w:fill="D9D9D9"/>
          </w:tcPr>
          <w:p w:rsidR="00AD7728" w:rsidRDefault="00AD7728" w:rsidP="00C84174">
            <w:pPr>
              <w:pStyle w:val="TableParagraph"/>
              <w:tabs>
                <w:tab w:val="left" w:pos="565"/>
                <w:tab w:val="left" w:pos="968"/>
              </w:tabs>
              <w:spacing w:line="278" w:lineRule="auto"/>
              <w:ind w:left="110" w:right="210"/>
              <w:rPr>
                <w:b/>
              </w:rPr>
            </w:pPr>
            <w:r>
              <w:rPr>
                <w:b/>
                <w:spacing w:val="-1"/>
              </w:rPr>
              <w:t xml:space="preserve">Compliance </w:t>
            </w:r>
            <w:r>
              <w:rPr>
                <w:b/>
              </w:rPr>
              <w:t>Y</w:t>
            </w:r>
            <w:r>
              <w:rPr>
                <w:b/>
              </w:rPr>
              <w:tab/>
              <w:t>N</w:t>
            </w:r>
            <w:r>
              <w:rPr>
                <w:b/>
              </w:rPr>
              <w:tab/>
              <w:t>N/A</w:t>
            </w:r>
          </w:p>
        </w:tc>
        <w:tc>
          <w:tcPr>
            <w:tcW w:w="4233" w:type="dxa"/>
            <w:shd w:val="clear" w:color="auto" w:fill="D9D9D9"/>
          </w:tcPr>
          <w:p w:rsidR="00AD7728" w:rsidRDefault="00AD7728" w:rsidP="00C84174">
            <w:pPr>
              <w:pStyle w:val="TableParagraph"/>
              <w:spacing w:line="243" w:lineRule="exact"/>
              <w:ind w:left="105"/>
              <w:rPr>
                <w:b/>
              </w:rPr>
            </w:pPr>
            <w:r>
              <w:rPr>
                <w:b/>
              </w:rPr>
              <w:t>Action Required</w:t>
            </w:r>
          </w:p>
        </w:tc>
        <w:tc>
          <w:tcPr>
            <w:tcW w:w="1843" w:type="dxa"/>
            <w:shd w:val="clear" w:color="auto" w:fill="D9D9D9"/>
          </w:tcPr>
          <w:p w:rsidR="00AD7728" w:rsidRDefault="00AD7728" w:rsidP="00C84174">
            <w:pPr>
              <w:pStyle w:val="TableParagraph"/>
              <w:spacing w:line="278" w:lineRule="auto"/>
              <w:ind w:left="111" w:right="210"/>
              <w:rPr>
                <w:b/>
              </w:rPr>
            </w:pPr>
            <w:r>
              <w:rPr>
                <w:b/>
              </w:rPr>
              <w:t>To be completed by:</w:t>
            </w:r>
          </w:p>
        </w:tc>
      </w:tr>
      <w:tr w:rsidR="00AD7728" w:rsidTr="00C84174">
        <w:trPr>
          <w:trHeight w:val="3508"/>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58" w:right="349"/>
            </w:pPr>
            <w:r>
              <w:t>Pregnant women with anti-D, -c –E and –K antibodies are offered non-invasive fetal blood grouping using cell-free fetal DNA (</w:t>
            </w:r>
            <w:proofErr w:type="spellStart"/>
            <w:r>
              <w:t>cffDNA</w:t>
            </w:r>
            <w:proofErr w:type="spellEnd"/>
            <w:r>
              <w:t>) from maternal plasma.</w:t>
            </w:r>
          </w:p>
          <w:p w:rsidR="00AD7728" w:rsidRDefault="00AD7728" w:rsidP="00C84174">
            <w:pPr>
              <w:pStyle w:val="TableParagraph"/>
              <w:spacing w:before="194" w:line="278" w:lineRule="auto"/>
              <w:ind w:left="158" w:right="201"/>
            </w:pPr>
            <w:r>
              <w:t>This is performed at a gestation recommended by the reference laboratory used.</w:t>
            </w:r>
          </w:p>
          <w:p w:rsidR="00AD7728" w:rsidRDefault="00AD7728" w:rsidP="00C84174">
            <w:pPr>
              <w:pStyle w:val="TableParagraph"/>
              <w:spacing w:before="196" w:line="276" w:lineRule="auto"/>
              <w:ind w:left="158" w:right="97"/>
            </w:pPr>
            <w:proofErr w:type="spellStart"/>
            <w:proofErr w:type="gramStart"/>
            <w:r>
              <w:t>cffDNA</w:t>
            </w:r>
            <w:proofErr w:type="spellEnd"/>
            <w:proofErr w:type="gramEnd"/>
            <w:r>
              <w:t xml:space="preserve"> tests are requested by obstetricians or fetal medicine specialists who can explain the implications of the test findings </w:t>
            </w:r>
            <w:r>
              <w:rPr>
                <w:spacing w:val="-3"/>
              </w:rPr>
              <w:t xml:space="preserve">in </w:t>
            </w:r>
            <w:r>
              <w:t>the context of the full history and investigation</w:t>
            </w:r>
            <w:r>
              <w:rPr>
                <w:spacing w:val="-14"/>
              </w:rPr>
              <w:t xml:space="preserve"> </w:t>
            </w:r>
            <w:r>
              <w:t>findings.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412"/>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rPr>
                <w:rFonts w:ascii="Times New Roman"/>
              </w:rPr>
            </w:pP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489"/>
        </w:trPr>
        <w:tc>
          <w:tcPr>
            <w:tcW w:w="2136" w:type="dxa"/>
            <w:shd w:val="clear" w:color="auto" w:fill="D9D9D9"/>
          </w:tcPr>
          <w:p w:rsidR="00AD7728" w:rsidRDefault="00AD7728" w:rsidP="00C84174">
            <w:pPr>
              <w:pStyle w:val="TableParagraph"/>
              <w:spacing w:line="243" w:lineRule="exact"/>
              <w:ind w:left="105"/>
              <w:rPr>
                <w:b/>
              </w:rPr>
            </w:pPr>
            <w:r>
              <w:rPr>
                <w:b/>
              </w:rPr>
              <w:t>Section 3</w:t>
            </w:r>
          </w:p>
        </w:tc>
        <w:tc>
          <w:tcPr>
            <w:tcW w:w="5232" w:type="dxa"/>
            <w:shd w:val="clear" w:color="auto" w:fill="D9D9D9"/>
          </w:tcPr>
          <w:p w:rsidR="00AD7728" w:rsidRDefault="00AD7728" w:rsidP="00C84174">
            <w:pPr>
              <w:pStyle w:val="TableParagraph"/>
              <w:spacing w:line="243" w:lineRule="exact"/>
              <w:ind w:left="110"/>
              <w:rPr>
                <w:b/>
              </w:rPr>
            </w:pPr>
            <w:r>
              <w:rPr>
                <w:b/>
              </w:rPr>
              <w:t>Antenatal Testing Protocols</w:t>
            </w:r>
          </w:p>
        </w:tc>
        <w:tc>
          <w:tcPr>
            <w:tcW w:w="1579" w:type="dxa"/>
            <w:shd w:val="clear" w:color="auto" w:fill="D9D9D9"/>
          </w:tcPr>
          <w:p w:rsidR="00AD7728" w:rsidRDefault="00AD7728" w:rsidP="00C84174">
            <w:pPr>
              <w:pStyle w:val="TableParagraph"/>
              <w:rPr>
                <w:rFonts w:ascii="Times New Roman"/>
              </w:rPr>
            </w:pPr>
          </w:p>
        </w:tc>
        <w:tc>
          <w:tcPr>
            <w:tcW w:w="4233" w:type="dxa"/>
            <w:shd w:val="clear" w:color="auto" w:fill="D9D9D9"/>
          </w:tcPr>
          <w:p w:rsidR="00AD7728" w:rsidRDefault="00AD7728" w:rsidP="00C84174">
            <w:pPr>
              <w:pStyle w:val="TableParagraph"/>
              <w:rPr>
                <w:rFonts w:ascii="Times New Roman"/>
              </w:rPr>
            </w:pPr>
          </w:p>
        </w:tc>
        <w:tc>
          <w:tcPr>
            <w:tcW w:w="1843" w:type="dxa"/>
            <w:shd w:val="clear" w:color="auto" w:fill="D9D9D9"/>
          </w:tcPr>
          <w:p w:rsidR="00AD7728" w:rsidRDefault="00AD7728" w:rsidP="00C84174">
            <w:pPr>
              <w:pStyle w:val="TableParagraph"/>
              <w:rPr>
                <w:rFonts w:ascii="Times New Roman"/>
              </w:rPr>
            </w:pPr>
          </w:p>
        </w:tc>
      </w:tr>
      <w:tr w:rsidR="00AD7728" w:rsidTr="00C84174">
        <w:trPr>
          <w:trHeight w:val="1166"/>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8" w:lineRule="auto"/>
              <w:ind w:left="110" w:right="200"/>
            </w:pPr>
            <w:r>
              <w:t xml:space="preserve">All pregnant women who are D negative are considered for prophylactic anti-D Ig for potentially </w:t>
            </w:r>
            <w:proofErr w:type="spellStart"/>
            <w:r>
              <w:t>sensitising</w:t>
            </w:r>
            <w:proofErr w:type="spellEnd"/>
            <w:r>
              <w:t xml:space="preserve"> events as defined in guidelines for the</w:t>
            </w:r>
          </w:p>
          <w:p w:rsidR="00AD7728" w:rsidRDefault="00AD7728" w:rsidP="00C84174">
            <w:pPr>
              <w:pStyle w:val="TableParagraph"/>
              <w:spacing w:line="246" w:lineRule="exact"/>
              <w:ind w:left="110"/>
            </w:pPr>
            <w:proofErr w:type="gramStart"/>
            <w:r>
              <w:t>use</w:t>
            </w:r>
            <w:proofErr w:type="gramEnd"/>
            <w:r>
              <w:t xml:space="preserve"> of anti-D Ig for the prevention of HDFN.</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012"/>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ind w:left="110" w:right="126"/>
            </w:pPr>
            <w:r>
              <w:t>All pregnant women are ABO and D typed and screened for the presence of red cell antibodies both early in pregnancy and at 28 weeks gestation,</w:t>
            </w:r>
          </w:p>
          <w:p w:rsidR="00AD7728" w:rsidRDefault="00AD7728" w:rsidP="00C84174">
            <w:pPr>
              <w:pStyle w:val="TableParagraph"/>
              <w:spacing w:line="238" w:lineRule="exact"/>
              <w:ind w:left="110"/>
            </w:pPr>
            <w:proofErr w:type="gramStart"/>
            <w:r>
              <w:t>before</w:t>
            </w:r>
            <w:proofErr w:type="gramEnd"/>
            <w:r>
              <w:t xml:space="preserve"> the administration of RAADP.</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873"/>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3" w:lineRule="auto"/>
              <w:ind w:left="110" w:right="150"/>
            </w:pPr>
            <w:r>
              <w:t>In women with no red cell antibodies present at 28 weeks gestation, no further routine antenatal blood</w:t>
            </w:r>
          </w:p>
          <w:p w:rsidR="00AD7728" w:rsidRDefault="00AD7728" w:rsidP="00C84174">
            <w:pPr>
              <w:pStyle w:val="TableParagraph"/>
              <w:ind w:left="110"/>
            </w:pPr>
            <w:proofErr w:type="gramStart"/>
            <w:r>
              <w:t>grouping</w:t>
            </w:r>
            <w:proofErr w:type="gramEnd"/>
            <w:r>
              <w:t xml:space="preserve"> or antibody screening is undertaken.</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489"/>
        </w:trPr>
        <w:tc>
          <w:tcPr>
            <w:tcW w:w="2136" w:type="dxa"/>
            <w:shd w:val="clear" w:color="auto" w:fill="D9D9D9"/>
          </w:tcPr>
          <w:p w:rsidR="00AD7728" w:rsidRDefault="00AD7728" w:rsidP="00C84174">
            <w:pPr>
              <w:pStyle w:val="TableParagraph"/>
              <w:spacing w:line="243" w:lineRule="exact"/>
              <w:ind w:left="105"/>
              <w:rPr>
                <w:b/>
              </w:rPr>
            </w:pPr>
            <w:r>
              <w:rPr>
                <w:b/>
              </w:rPr>
              <w:t>Section 4</w:t>
            </w:r>
          </w:p>
        </w:tc>
        <w:tc>
          <w:tcPr>
            <w:tcW w:w="5232" w:type="dxa"/>
            <w:shd w:val="clear" w:color="auto" w:fill="D9D9D9"/>
          </w:tcPr>
          <w:p w:rsidR="00AD7728" w:rsidRDefault="00AD7728" w:rsidP="00C84174">
            <w:pPr>
              <w:pStyle w:val="TableParagraph"/>
              <w:spacing w:line="243" w:lineRule="exact"/>
              <w:ind w:left="110"/>
              <w:rPr>
                <w:b/>
              </w:rPr>
            </w:pPr>
            <w:r>
              <w:rPr>
                <w:b/>
              </w:rPr>
              <w:t>Red Cell Antibodies Detected In Pregnancy.</w:t>
            </w:r>
          </w:p>
        </w:tc>
        <w:tc>
          <w:tcPr>
            <w:tcW w:w="1579" w:type="dxa"/>
            <w:shd w:val="clear" w:color="auto" w:fill="D9D9D9"/>
          </w:tcPr>
          <w:p w:rsidR="00AD7728" w:rsidRDefault="00AD7728" w:rsidP="00C84174">
            <w:pPr>
              <w:pStyle w:val="TableParagraph"/>
              <w:rPr>
                <w:rFonts w:ascii="Times New Roman"/>
              </w:rPr>
            </w:pPr>
          </w:p>
        </w:tc>
        <w:tc>
          <w:tcPr>
            <w:tcW w:w="4233" w:type="dxa"/>
            <w:shd w:val="clear" w:color="auto" w:fill="D9D9D9"/>
          </w:tcPr>
          <w:p w:rsidR="00AD7728" w:rsidRDefault="00AD7728" w:rsidP="00C84174">
            <w:pPr>
              <w:pStyle w:val="TableParagraph"/>
              <w:rPr>
                <w:rFonts w:ascii="Times New Roman"/>
              </w:rPr>
            </w:pPr>
          </w:p>
        </w:tc>
        <w:tc>
          <w:tcPr>
            <w:tcW w:w="1843" w:type="dxa"/>
            <w:shd w:val="clear" w:color="auto" w:fill="D9D9D9"/>
          </w:tcPr>
          <w:p w:rsidR="00AD7728" w:rsidRDefault="00AD7728" w:rsidP="00C84174">
            <w:pPr>
              <w:pStyle w:val="TableParagraph"/>
              <w:rPr>
                <w:rFonts w:ascii="Times New Roman"/>
              </w:rPr>
            </w:pPr>
          </w:p>
        </w:tc>
      </w:tr>
    </w:tbl>
    <w:p w:rsidR="00AD7728" w:rsidRDefault="00AD7728" w:rsidP="00AD7728">
      <w:pPr>
        <w:rPr>
          <w:rFonts w:ascii="Times New Roman"/>
        </w:rPr>
        <w:sectPr w:rsidR="00AD7728">
          <w:footerReference w:type="default" r:id="rId8"/>
          <w:pgSz w:w="16840" w:h="11900" w:orient="landscape"/>
          <w:pgMar w:top="1100" w:right="120" w:bottom="600" w:left="1340" w:header="0" w:footer="403" w:gutter="0"/>
          <w:cols w:space="720"/>
        </w:sectPr>
      </w:pPr>
    </w:p>
    <w:p w:rsidR="00AD7728" w:rsidRDefault="00AD7728" w:rsidP="00AD7728">
      <w:pPr>
        <w:pStyle w:val="BodyText"/>
        <w:spacing w:before="6"/>
        <w:rPr>
          <w:rFonts w:ascii="Times New Roman"/>
          <w:sz w:val="2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5232"/>
        <w:gridCol w:w="1579"/>
        <w:gridCol w:w="4233"/>
        <w:gridCol w:w="1843"/>
      </w:tblGrid>
      <w:tr w:rsidR="00AD7728" w:rsidTr="00C84174">
        <w:trPr>
          <w:trHeight w:val="782"/>
        </w:trPr>
        <w:tc>
          <w:tcPr>
            <w:tcW w:w="2136" w:type="dxa"/>
            <w:shd w:val="clear" w:color="auto" w:fill="D9D9D9"/>
          </w:tcPr>
          <w:p w:rsidR="00AD7728" w:rsidRDefault="00AD7728" w:rsidP="00C84174">
            <w:pPr>
              <w:pStyle w:val="TableParagraph"/>
              <w:spacing w:line="243" w:lineRule="exact"/>
              <w:ind w:left="105"/>
              <w:rPr>
                <w:b/>
              </w:rPr>
            </w:pPr>
            <w:r>
              <w:rPr>
                <w:b/>
              </w:rPr>
              <w:t>Section</w:t>
            </w:r>
          </w:p>
        </w:tc>
        <w:tc>
          <w:tcPr>
            <w:tcW w:w="5232" w:type="dxa"/>
            <w:shd w:val="clear" w:color="auto" w:fill="D9D9D9"/>
          </w:tcPr>
          <w:p w:rsidR="00AD7728" w:rsidRDefault="00AD7728" w:rsidP="00C84174">
            <w:pPr>
              <w:pStyle w:val="TableParagraph"/>
              <w:spacing w:line="243" w:lineRule="exact"/>
              <w:ind w:left="158"/>
              <w:rPr>
                <w:b/>
              </w:rPr>
            </w:pPr>
            <w:r>
              <w:rPr>
                <w:b/>
              </w:rPr>
              <w:t>Criteria</w:t>
            </w:r>
          </w:p>
        </w:tc>
        <w:tc>
          <w:tcPr>
            <w:tcW w:w="1579" w:type="dxa"/>
            <w:shd w:val="clear" w:color="auto" w:fill="D9D9D9"/>
          </w:tcPr>
          <w:p w:rsidR="00AD7728" w:rsidRDefault="00AD7728" w:rsidP="00C84174">
            <w:pPr>
              <w:pStyle w:val="TableParagraph"/>
              <w:tabs>
                <w:tab w:val="left" w:pos="565"/>
                <w:tab w:val="left" w:pos="968"/>
              </w:tabs>
              <w:spacing w:line="278" w:lineRule="auto"/>
              <w:ind w:left="110" w:right="210"/>
              <w:rPr>
                <w:b/>
              </w:rPr>
            </w:pPr>
            <w:r>
              <w:rPr>
                <w:b/>
                <w:spacing w:val="-1"/>
              </w:rPr>
              <w:t xml:space="preserve">Compliance </w:t>
            </w:r>
            <w:r>
              <w:rPr>
                <w:b/>
              </w:rPr>
              <w:t>Y</w:t>
            </w:r>
            <w:r>
              <w:rPr>
                <w:b/>
              </w:rPr>
              <w:tab/>
              <w:t>N</w:t>
            </w:r>
            <w:r>
              <w:rPr>
                <w:b/>
              </w:rPr>
              <w:tab/>
              <w:t>N/A</w:t>
            </w:r>
          </w:p>
        </w:tc>
        <w:tc>
          <w:tcPr>
            <w:tcW w:w="4233" w:type="dxa"/>
            <w:shd w:val="clear" w:color="auto" w:fill="D9D9D9"/>
          </w:tcPr>
          <w:p w:rsidR="00AD7728" w:rsidRDefault="00AD7728" w:rsidP="00C84174">
            <w:pPr>
              <w:pStyle w:val="TableParagraph"/>
              <w:spacing w:line="243" w:lineRule="exact"/>
              <w:ind w:left="105"/>
              <w:rPr>
                <w:b/>
              </w:rPr>
            </w:pPr>
            <w:r>
              <w:rPr>
                <w:b/>
              </w:rPr>
              <w:t>Action Required</w:t>
            </w:r>
          </w:p>
        </w:tc>
        <w:tc>
          <w:tcPr>
            <w:tcW w:w="1843" w:type="dxa"/>
            <w:shd w:val="clear" w:color="auto" w:fill="D9D9D9"/>
          </w:tcPr>
          <w:p w:rsidR="00AD7728" w:rsidRDefault="00AD7728" w:rsidP="00C84174">
            <w:pPr>
              <w:pStyle w:val="TableParagraph"/>
              <w:spacing w:line="278" w:lineRule="auto"/>
              <w:ind w:left="111" w:right="210"/>
              <w:rPr>
                <w:b/>
              </w:rPr>
            </w:pPr>
            <w:r>
              <w:rPr>
                <w:b/>
              </w:rPr>
              <w:t>To be completed by:</w:t>
            </w:r>
          </w:p>
        </w:tc>
      </w:tr>
      <w:tr w:rsidR="00AD7728" w:rsidTr="00C84174">
        <w:trPr>
          <w:trHeight w:val="1454"/>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371"/>
            </w:pPr>
            <w:r>
              <w:t xml:space="preserve">All women who have previously had a baby affected by HDFN are referred before 20 weeks gestation to a fetal medicine specialist for advice and for assessment of fetal </w:t>
            </w:r>
            <w:proofErr w:type="spellStart"/>
            <w:r>
              <w:t>haemolysis</w:t>
            </w:r>
            <w:proofErr w:type="spellEnd"/>
            <w:r>
              <w:t>,</w:t>
            </w:r>
          </w:p>
          <w:p w:rsidR="00AD7728" w:rsidRDefault="00AD7728" w:rsidP="00C84174">
            <w:pPr>
              <w:pStyle w:val="TableParagraph"/>
              <w:spacing w:line="251" w:lineRule="exact"/>
              <w:ind w:left="110"/>
            </w:pPr>
            <w:proofErr w:type="gramStart"/>
            <w:r>
              <w:t>irrespective</w:t>
            </w:r>
            <w:proofErr w:type="gramEnd"/>
            <w:r>
              <w:t xml:space="preserve"> of antibody concentration or specificity.</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580"/>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48" w:lineRule="exact"/>
              <w:ind w:left="110"/>
            </w:pPr>
            <w:r>
              <w:t>The laboratory keeps clear records of anti-D Ig</w:t>
            </w:r>
          </w:p>
          <w:p w:rsidR="00AD7728" w:rsidRDefault="00AD7728" w:rsidP="00C84174">
            <w:pPr>
              <w:pStyle w:val="TableParagraph"/>
              <w:spacing w:before="40"/>
              <w:ind w:left="110"/>
            </w:pPr>
            <w:proofErr w:type="gramStart"/>
            <w:r>
              <w:t>administration</w:t>
            </w:r>
            <w:proofErr w:type="gramEnd"/>
            <w:r>
              <w:t>.</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2039"/>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249"/>
            </w:pPr>
            <w:r>
              <w:t>All anti-D detected in pregnancy should be quantified by CFA, or tested by a method that has been extensively validated against quantification, and there is a clear procedure to distinguish between immune and passive anti-D Ig, including review of clinical history and previous laboratory</w:t>
            </w:r>
          </w:p>
          <w:p w:rsidR="00AD7728" w:rsidRDefault="00AD7728" w:rsidP="00C84174">
            <w:pPr>
              <w:pStyle w:val="TableParagraph"/>
              <w:ind w:left="110"/>
            </w:pPr>
            <w:proofErr w:type="gramStart"/>
            <w:r>
              <w:t>results</w:t>
            </w:r>
            <w:proofErr w:type="gramEnd"/>
            <w:r>
              <w:t>.</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161"/>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pPr>
            <w:r>
              <w:t>When there is doubt as to the passive or immune nature of anti-D, concentration is monitored and prophylactic anti-D Ig offered, where indicated, until</w:t>
            </w:r>
          </w:p>
          <w:p w:rsidR="00AD7728" w:rsidRDefault="00AD7728" w:rsidP="00C84174">
            <w:pPr>
              <w:pStyle w:val="TableParagraph"/>
              <w:ind w:left="110"/>
            </w:pPr>
            <w:proofErr w:type="gramStart"/>
            <w:r>
              <w:t>the</w:t>
            </w:r>
            <w:proofErr w:type="gramEnd"/>
            <w:r>
              <w:t xml:space="preserve"> nature of anti-D is established.</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508"/>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48" w:lineRule="exact"/>
              <w:ind w:left="110"/>
            </w:pPr>
            <w:r>
              <w:t xml:space="preserve">A reference </w:t>
            </w:r>
            <w:proofErr w:type="spellStart"/>
            <w:r>
              <w:t>centre</w:t>
            </w:r>
            <w:proofErr w:type="spellEnd"/>
            <w:r>
              <w:t xml:space="preserve"> confirms antibody specificity in</w:t>
            </w:r>
          </w:p>
          <w:p w:rsidR="00AD7728" w:rsidRDefault="00AD7728" w:rsidP="00C84174">
            <w:pPr>
              <w:pStyle w:val="TableParagraph"/>
              <w:spacing w:before="1" w:line="239" w:lineRule="exact"/>
              <w:ind w:left="110"/>
            </w:pPr>
            <w:r>
              <w:t>women with apparent anti-C+D.</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2327"/>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286"/>
            </w:pPr>
            <w:r>
              <w:t>Cases of anti-D and anti-c are referred to a fetal medicine specialist if the antibody concentration reaches the critical level and/or the level is rising significantly. The antibody concentration is assessed serologically at 4 weekly intervals to 28 weeks gestation and at fortnightly intervals thereafter until delivery, unless advised otherwise</w:t>
            </w:r>
          </w:p>
          <w:p w:rsidR="00AD7728" w:rsidRDefault="00AD7728" w:rsidP="00C84174">
            <w:pPr>
              <w:pStyle w:val="TableParagraph"/>
              <w:spacing w:line="252" w:lineRule="exact"/>
              <w:ind w:left="110"/>
            </w:pPr>
            <w:proofErr w:type="gramStart"/>
            <w:r>
              <w:t>by</w:t>
            </w:r>
            <w:proofErr w:type="gramEnd"/>
            <w:r>
              <w:t xml:space="preserve"> clinicians undertaking serial MCA Doppler.</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bl>
    <w:p w:rsidR="00AD7728" w:rsidRDefault="00AD7728" w:rsidP="00AD7728">
      <w:pPr>
        <w:rPr>
          <w:rFonts w:ascii="Times New Roman"/>
        </w:rPr>
        <w:sectPr w:rsidR="00AD7728">
          <w:footerReference w:type="default" r:id="rId9"/>
          <w:pgSz w:w="16840" w:h="11900" w:orient="landscape"/>
          <w:pgMar w:top="1100" w:right="120" w:bottom="600" w:left="1340" w:header="0" w:footer="403" w:gutter="0"/>
          <w:cols w:space="720"/>
        </w:sectPr>
      </w:pPr>
    </w:p>
    <w:p w:rsidR="00AD7728" w:rsidRDefault="00AD7728" w:rsidP="00AD7728">
      <w:pPr>
        <w:pStyle w:val="BodyText"/>
        <w:spacing w:before="6"/>
        <w:rPr>
          <w:rFonts w:ascii="Times New Roman"/>
          <w:sz w:val="2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5232"/>
        <w:gridCol w:w="1579"/>
        <w:gridCol w:w="4233"/>
        <w:gridCol w:w="1843"/>
      </w:tblGrid>
      <w:tr w:rsidR="00AD7728" w:rsidTr="00C84174">
        <w:trPr>
          <w:trHeight w:val="782"/>
        </w:trPr>
        <w:tc>
          <w:tcPr>
            <w:tcW w:w="2136" w:type="dxa"/>
            <w:shd w:val="clear" w:color="auto" w:fill="D9D9D9"/>
          </w:tcPr>
          <w:p w:rsidR="00AD7728" w:rsidRDefault="00AD7728" w:rsidP="00C84174">
            <w:pPr>
              <w:pStyle w:val="TableParagraph"/>
              <w:spacing w:line="243" w:lineRule="exact"/>
              <w:ind w:left="105"/>
              <w:rPr>
                <w:b/>
              </w:rPr>
            </w:pPr>
            <w:r>
              <w:rPr>
                <w:b/>
              </w:rPr>
              <w:t>Section</w:t>
            </w:r>
          </w:p>
        </w:tc>
        <w:tc>
          <w:tcPr>
            <w:tcW w:w="5232" w:type="dxa"/>
            <w:shd w:val="clear" w:color="auto" w:fill="D9D9D9"/>
          </w:tcPr>
          <w:p w:rsidR="00AD7728" w:rsidRDefault="00AD7728" w:rsidP="00C84174">
            <w:pPr>
              <w:pStyle w:val="TableParagraph"/>
              <w:spacing w:line="243" w:lineRule="exact"/>
              <w:ind w:left="158"/>
              <w:rPr>
                <w:b/>
              </w:rPr>
            </w:pPr>
            <w:r>
              <w:rPr>
                <w:b/>
              </w:rPr>
              <w:t>Criteria</w:t>
            </w:r>
          </w:p>
        </w:tc>
        <w:tc>
          <w:tcPr>
            <w:tcW w:w="1579" w:type="dxa"/>
            <w:shd w:val="clear" w:color="auto" w:fill="D9D9D9"/>
          </w:tcPr>
          <w:p w:rsidR="00AD7728" w:rsidRDefault="00AD7728" w:rsidP="00C84174">
            <w:pPr>
              <w:pStyle w:val="TableParagraph"/>
              <w:tabs>
                <w:tab w:val="left" w:pos="565"/>
                <w:tab w:val="left" w:pos="968"/>
              </w:tabs>
              <w:spacing w:line="278" w:lineRule="auto"/>
              <w:ind w:left="110" w:right="210"/>
              <w:rPr>
                <w:b/>
              </w:rPr>
            </w:pPr>
            <w:r>
              <w:rPr>
                <w:b/>
                <w:spacing w:val="-1"/>
              </w:rPr>
              <w:t xml:space="preserve">Compliance </w:t>
            </w:r>
            <w:r>
              <w:rPr>
                <w:b/>
              </w:rPr>
              <w:t>Y</w:t>
            </w:r>
            <w:r>
              <w:rPr>
                <w:b/>
              </w:rPr>
              <w:tab/>
              <w:t>N</w:t>
            </w:r>
            <w:r>
              <w:rPr>
                <w:b/>
              </w:rPr>
              <w:tab/>
              <w:t>N/A</w:t>
            </w:r>
          </w:p>
        </w:tc>
        <w:tc>
          <w:tcPr>
            <w:tcW w:w="4233" w:type="dxa"/>
            <w:shd w:val="clear" w:color="auto" w:fill="D9D9D9"/>
          </w:tcPr>
          <w:p w:rsidR="00AD7728" w:rsidRDefault="00AD7728" w:rsidP="00C84174">
            <w:pPr>
              <w:pStyle w:val="TableParagraph"/>
              <w:spacing w:line="243" w:lineRule="exact"/>
              <w:ind w:left="105"/>
              <w:rPr>
                <w:b/>
              </w:rPr>
            </w:pPr>
            <w:r>
              <w:rPr>
                <w:b/>
              </w:rPr>
              <w:t>Action Required</w:t>
            </w:r>
          </w:p>
        </w:tc>
        <w:tc>
          <w:tcPr>
            <w:tcW w:w="1843" w:type="dxa"/>
            <w:shd w:val="clear" w:color="auto" w:fill="D9D9D9"/>
          </w:tcPr>
          <w:p w:rsidR="00AD7728" w:rsidRDefault="00AD7728" w:rsidP="00C84174">
            <w:pPr>
              <w:pStyle w:val="TableParagraph"/>
              <w:spacing w:line="278" w:lineRule="auto"/>
              <w:ind w:left="111" w:right="210"/>
              <w:rPr>
                <w:b/>
              </w:rPr>
            </w:pPr>
            <w:r>
              <w:rPr>
                <w:b/>
              </w:rPr>
              <w:t>To be completed by:</w:t>
            </w:r>
          </w:p>
        </w:tc>
      </w:tr>
      <w:tr w:rsidR="00AD7728" w:rsidTr="00C84174">
        <w:trPr>
          <w:trHeight w:val="489"/>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rPr>
                <w:rFonts w:ascii="Times New Roman"/>
              </w:rPr>
            </w:pP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2620"/>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176"/>
            </w:pPr>
            <w:r>
              <w:t xml:space="preserve">Cases of anti-K or other </w:t>
            </w:r>
            <w:proofErr w:type="spellStart"/>
            <w:r>
              <w:t>Kell</w:t>
            </w:r>
            <w:proofErr w:type="spellEnd"/>
            <w:r>
              <w:t xml:space="preserve"> system antibody [unless the father is confirmed to be antigen negative] are referred to a fetal medicine specialist when the antibody is first identified. The antibody strength is assessed serologically at monthly intervals to 28 weeks gestation and at fortnightly intervals thereafter until delivery, unless advised otherwise by clinicians undertaking serial MCA</w:t>
            </w:r>
          </w:p>
          <w:p w:rsidR="00AD7728" w:rsidRDefault="00AD7728" w:rsidP="00C84174">
            <w:pPr>
              <w:pStyle w:val="TableParagraph"/>
              <w:ind w:left="110"/>
            </w:pPr>
            <w:r>
              <w:t>Doppler. All cases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746"/>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108"/>
            </w:pPr>
            <w:r>
              <w:t xml:space="preserve">Clinically significant antibodies, other than anti-D, - c or -K, are excluded or, if present, assessed by titration, at the booking appointment and at 28 weeks gestation. Where the </w:t>
            </w:r>
            <w:proofErr w:type="spellStart"/>
            <w:r>
              <w:t>titre</w:t>
            </w:r>
            <w:proofErr w:type="spellEnd"/>
            <w:r>
              <w:t xml:space="preserve"> is&gt;32 and/or there is a past history of HDFN, referral to a specialist in</w:t>
            </w:r>
          </w:p>
          <w:p w:rsidR="00AD7728" w:rsidRDefault="00AD7728" w:rsidP="00C84174">
            <w:pPr>
              <w:pStyle w:val="TableParagraph"/>
              <w:spacing w:line="253" w:lineRule="exact"/>
              <w:ind w:left="110"/>
            </w:pPr>
            <w:proofErr w:type="gramStart"/>
            <w:r>
              <w:t>fetal</w:t>
            </w:r>
            <w:proofErr w:type="gramEnd"/>
            <w:r>
              <w:t xml:space="preserve"> medicine is made for further assessment.</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489"/>
        </w:trPr>
        <w:tc>
          <w:tcPr>
            <w:tcW w:w="2136" w:type="dxa"/>
            <w:shd w:val="clear" w:color="auto" w:fill="D9D9D9"/>
          </w:tcPr>
          <w:p w:rsidR="00AD7728" w:rsidRDefault="00AD7728" w:rsidP="00C84174">
            <w:pPr>
              <w:pStyle w:val="TableParagraph"/>
              <w:spacing w:line="243" w:lineRule="exact"/>
              <w:ind w:left="105"/>
              <w:rPr>
                <w:b/>
              </w:rPr>
            </w:pPr>
            <w:r>
              <w:rPr>
                <w:b/>
              </w:rPr>
              <w:t>Section 5</w:t>
            </w:r>
          </w:p>
        </w:tc>
        <w:tc>
          <w:tcPr>
            <w:tcW w:w="5232" w:type="dxa"/>
            <w:shd w:val="clear" w:color="auto" w:fill="D9D9D9"/>
          </w:tcPr>
          <w:p w:rsidR="00AD7728" w:rsidRDefault="00AD7728" w:rsidP="00C84174">
            <w:pPr>
              <w:pStyle w:val="TableParagraph"/>
              <w:spacing w:line="243" w:lineRule="exact"/>
              <w:ind w:left="110"/>
              <w:rPr>
                <w:b/>
              </w:rPr>
            </w:pPr>
            <w:r>
              <w:rPr>
                <w:b/>
              </w:rPr>
              <w:t>Reports Of Laboratory Investigations</w:t>
            </w:r>
          </w:p>
        </w:tc>
        <w:tc>
          <w:tcPr>
            <w:tcW w:w="1579" w:type="dxa"/>
            <w:shd w:val="clear" w:color="auto" w:fill="D9D9D9"/>
          </w:tcPr>
          <w:p w:rsidR="00AD7728" w:rsidRDefault="00AD7728" w:rsidP="00C84174">
            <w:pPr>
              <w:pStyle w:val="TableParagraph"/>
              <w:rPr>
                <w:rFonts w:ascii="Times New Roman"/>
              </w:rPr>
            </w:pPr>
          </w:p>
        </w:tc>
        <w:tc>
          <w:tcPr>
            <w:tcW w:w="4233" w:type="dxa"/>
            <w:shd w:val="clear" w:color="auto" w:fill="D9D9D9"/>
          </w:tcPr>
          <w:p w:rsidR="00AD7728" w:rsidRDefault="00AD7728" w:rsidP="00C84174">
            <w:pPr>
              <w:pStyle w:val="TableParagraph"/>
              <w:rPr>
                <w:rFonts w:ascii="Times New Roman"/>
              </w:rPr>
            </w:pPr>
          </w:p>
        </w:tc>
        <w:tc>
          <w:tcPr>
            <w:tcW w:w="1843" w:type="dxa"/>
            <w:shd w:val="clear" w:color="auto" w:fill="D9D9D9"/>
          </w:tcPr>
          <w:p w:rsidR="00AD7728" w:rsidRDefault="00AD7728" w:rsidP="00C84174">
            <w:pPr>
              <w:pStyle w:val="TableParagraph"/>
              <w:rPr>
                <w:rFonts w:ascii="Times New Roman"/>
              </w:rPr>
            </w:pPr>
          </w:p>
        </w:tc>
      </w:tr>
      <w:tr w:rsidR="00AD7728" w:rsidTr="00C84174">
        <w:trPr>
          <w:trHeight w:val="1012"/>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ind w:left="110" w:right="94"/>
              <w:jc w:val="both"/>
            </w:pPr>
            <w:r>
              <w:t>Reports inform the clinician[s] of the significance of the antibodies, with respect to the development of HDFN and transfusion problems.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489"/>
        </w:trPr>
        <w:tc>
          <w:tcPr>
            <w:tcW w:w="2136" w:type="dxa"/>
            <w:shd w:val="clear" w:color="auto" w:fill="D9D9D9"/>
          </w:tcPr>
          <w:p w:rsidR="00AD7728" w:rsidRDefault="00AD7728" w:rsidP="00C84174">
            <w:pPr>
              <w:pStyle w:val="TableParagraph"/>
              <w:spacing w:line="243" w:lineRule="exact"/>
              <w:ind w:left="105"/>
              <w:rPr>
                <w:b/>
              </w:rPr>
            </w:pPr>
            <w:r>
              <w:rPr>
                <w:b/>
              </w:rPr>
              <w:t>Section 6</w:t>
            </w:r>
          </w:p>
        </w:tc>
        <w:tc>
          <w:tcPr>
            <w:tcW w:w="5232" w:type="dxa"/>
            <w:shd w:val="clear" w:color="auto" w:fill="D9D9D9"/>
          </w:tcPr>
          <w:p w:rsidR="00AD7728" w:rsidRDefault="00AD7728" w:rsidP="00C84174">
            <w:pPr>
              <w:pStyle w:val="TableParagraph"/>
              <w:spacing w:line="243" w:lineRule="exact"/>
              <w:ind w:left="110"/>
              <w:rPr>
                <w:b/>
              </w:rPr>
            </w:pPr>
            <w:r>
              <w:rPr>
                <w:b/>
              </w:rPr>
              <w:t>Action At Time Of Birth</w:t>
            </w:r>
          </w:p>
        </w:tc>
        <w:tc>
          <w:tcPr>
            <w:tcW w:w="1579" w:type="dxa"/>
            <w:shd w:val="clear" w:color="auto" w:fill="D9D9D9"/>
          </w:tcPr>
          <w:p w:rsidR="00AD7728" w:rsidRDefault="00AD7728" w:rsidP="00C84174">
            <w:pPr>
              <w:pStyle w:val="TableParagraph"/>
              <w:rPr>
                <w:rFonts w:ascii="Times New Roman"/>
              </w:rPr>
            </w:pPr>
          </w:p>
        </w:tc>
        <w:tc>
          <w:tcPr>
            <w:tcW w:w="4233" w:type="dxa"/>
            <w:shd w:val="clear" w:color="auto" w:fill="D9D9D9"/>
          </w:tcPr>
          <w:p w:rsidR="00AD7728" w:rsidRDefault="00AD7728" w:rsidP="00C84174">
            <w:pPr>
              <w:pStyle w:val="TableParagraph"/>
              <w:rPr>
                <w:rFonts w:ascii="Times New Roman"/>
              </w:rPr>
            </w:pPr>
          </w:p>
        </w:tc>
        <w:tc>
          <w:tcPr>
            <w:tcW w:w="1843" w:type="dxa"/>
            <w:shd w:val="clear" w:color="auto" w:fill="D9D9D9"/>
          </w:tcPr>
          <w:p w:rsidR="00AD7728" w:rsidRDefault="00AD7728" w:rsidP="00C84174">
            <w:pPr>
              <w:pStyle w:val="TableParagraph"/>
              <w:rPr>
                <w:rFonts w:ascii="Times New Roman"/>
              </w:rPr>
            </w:pPr>
          </w:p>
        </w:tc>
      </w:tr>
      <w:tr w:rsidR="00AD7728" w:rsidTr="00C84174">
        <w:trPr>
          <w:trHeight w:val="1266"/>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ind w:left="110" w:right="652"/>
            </w:pPr>
            <w:r>
              <w:t xml:space="preserve">All babies born to women who have clinically significant antibodies are closely observed for evidence of HDFN. A DAT is performed, and </w:t>
            </w:r>
            <w:proofErr w:type="spellStart"/>
            <w:r>
              <w:t>haemoglobin</w:t>
            </w:r>
            <w:proofErr w:type="spellEnd"/>
            <w:r>
              <w:t xml:space="preserve"> and bilirubin concentrations are</w:t>
            </w:r>
          </w:p>
          <w:p w:rsidR="00AD7728" w:rsidRDefault="00AD7728" w:rsidP="00C84174">
            <w:pPr>
              <w:pStyle w:val="TableParagraph"/>
              <w:spacing w:line="239" w:lineRule="exact"/>
              <w:ind w:left="110"/>
            </w:pPr>
            <w:proofErr w:type="gramStart"/>
            <w:r>
              <w:t>measured</w:t>
            </w:r>
            <w:proofErr w:type="gramEnd"/>
            <w:r>
              <w:t>.</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bl>
    <w:p w:rsidR="00AD7728" w:rsidRDefault="00AD7728" w:rsidP="00AD7728">
      <w:pPr>
        <w:rPr>
          <w:rFonts w:ascii="Times New Roman"/>
        </w:rPr>
        <w:sectPr w:rsidR="00AD7728">
          <w:footerReference w:type="default" r:id="rId10"/>
          <w:pgSz w:w="16840" w:h="11900" w:orient="landscape"/>
          <w:pgMar w:top="1100" w:right="120" w:bottom="600" w:left="1340" w:header="0" w:footer="403" w:gutter="0"/>
          <w:pgNumType w:start="33"/>
          <w:cols w:space="720"/>
        </w:sectPr>
      </w:pPr>
    </w:p>
    <w:p w:rsidR="00AD7728" w:rsidRDefault="00AD7728" w:rsidP="00AD7728">
      <w:pPr>
        <w:pStyle w:val="BodyText"/>
        <w:spacing w:before="6"/>
        <w:rPr>
          <w:rFonts w:ascii="Times New Roman"/>
          <w:sz w:val="2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5232"/>
        <w:gridCol w:w="1579"/>
        <w:gridCol w:w="4233"/>
        <w:gridCol w:w="1843"/>
      </w:tblGrid>
      <w:tr w:rsidR="00AD7728" w:rsidTr="00C84174">
        <w:trPr>
          <w:trHeight w:val="782"/>
        </w:trPr>
        <w:tc>
          <w:tcPr>
            <w:tcW w:w="2136" w:type="dxa"/>
            <w:shd w:val="clear" w:color="auto" w:fill="D9D9D9"/>
          </w:tcPr>
          <w:p w:rsidR="00AD7728" w:rsidRDefault="00AD7728" w:rsidP="00C84174">
            <w:pPr>
              <w:pStyle w:val="TableParagraph"/>
              <w:spacing w:line="243" w:lineRule="exact"/>
              <w:ind w:left="105"/>
              <w:rPr>
                <w:b/>
              </w:rPr>
            </w:pPr>
            <w:r>
              <w:rPr>
                <w:b/>
              </w:rPr>
              <w:t>Section</w:t>
            </w:r>
          </w:p>
        </w:tc>
        <w:tc>
          <w:tcPr>
            <w:tcW w:w="5232" w:type="dxa"/>
            <w:shd w:val="clear" w:color="auto" w:fill="D9D9D9"/>
          </w:tcPr>
          <w:p w:rsidR="00AD7728" w:rsidRDefault="00AD7728" w:rsidP="00C84174">
            <w:pPr>
              <w:pStyle w:val="TableParagraph"/>
              <w:spacing w:line="243" w:lineRule="exact"/>
              <w:ind w:left="158"/>
              <w:rPr>
                <w:b/>
              </w:rPr>
            </w:pPr>
            <w:r>
              <w:rPr>
                <w:b/>
              </w:rPr>
              <w:t>Criteria</w:t>
            </w:r>
          </w:p>
        </w:tc>
        <w:tc>
          <w:tcPr>
            <w:tcW w:w="1579" w:type="dxa"/>
            <w:shd w:val="clear" w:color="auto" w:fill="D9D9D9"/>
          </w:tcPr>
          <w:p w:rsidR="00AD7728" w:rsidRDefault="00AD7728" w:rsidP="00C84174">
            <w:pPr>
              <w:pStyle w:val="TableParagraph"/>
              <w:tabs>
                <w:tab w:val="left" w:pos="565"/>
                <w:tab w:val="left" w:pos="968"/>
              </w:tabs>
              <w:spacing w:line="278" w:lineRule="auto"/>
              <w:ind w:left="110" w:right="210"/>
              <w:rPr>
                <w:b/>
              </w:rPr>
            </w:pPr>
            <w:r>
              <w:rPr>
                <w:b/>
                <w:spacing w:val="-1"/>
              </w:rPr>
              <w:t xml:space="preserve">Compliance </w:t>
            </w:r>
            <w:r>
              <w:rPr>
                <w:b/>
              </w:rPr>
              <w:t>Y</w:t>
            </w:r>
            <w:r>
              <w:rPr>
                <w:b/>
              </w:rPr>
              <w:tab/>
              <w:t>N</w:t>
            </w:r>
            <w:r>
              <w:rPr>
                <w:b/>
              </w:rPr>
              <w:tab/>
              <w:t>N/A</w:t>
            </w:r>
          </w:p>
        </w:tc>
        <w:tc>
          <w:tcPr>
            <w:tcW w:w="4233" w:type="dxa"/>
            <w:shd w:val="clear" w:color="auto" w:fill="D9D9D9"/>
          </w:tcPr>
          <w:p w:rsidR="00AD7728" w:rsidRDefault="00AD7728" w:rsidP="00C84174">
            <w:pPr>
              <w:pStyle w:val="TableParagraph"/>
              <w:spacing w:line="243" w:lineRule="exact"/>
              <w:ind w:left="105"/>
              <w:rPr>
                <w:b/>
              </w:rPr>
            </w:pPr>
            <w:r>
              <w:rPr>
                <w:b/>
              </w:rPr>
              <w:t>Action Required</w:t>
            </w:r>
          </w:p>
        </w:tc>
        <w:tc>
          <w:tcPr>
            <w:tcW w:w="1843" w:type="dxa"/>
            <w:shd w:val="clear" w:color="auto" w:fill="D9D9D9"/>
          </w:tcPr>
          <w:p w:rsidR="00AD7728" w:rsidRDefault="00AD7728" w:rsidP="00C84174">
            <w:pPr>
              <w:pStyle w:val="TableParagraph"/>
              <w:spacing w:line="278" w:lineRule="auto"/>
              <w:ind w:left="111" w:right="210"/>
              <w:rPr>
                <w:b/>
              </w:rPr>
            </w:pPr>
            <w:r>
              <w:rPr>
                <w:b/>
              </w:rPr>
              <w:t>To be completed by:</w:t>
            </w:r>
          </w:p>
        </w:tc>
      </w:tr>
      <w:tr w:rsidR="00AD7728" w:rsidTr="00C84174">
        <w:trPr>
          <w:trHeight w:val="758"/>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48" w:lineRule="exact"/>
              <w:ind w:left="110"/>
            </w:pPr>
            <w:r>
              <w:t>A DAT is not routinely performed on cord samples</w:t>
            </w:r>
          </w:p>
          <w:p w:rsidR="00AD7728" w:rsidRDefault="00AD7728" w:rsidP="00C84174">
            <w:pPr>
              <w:pStyle w:val="TableParagraph"/>
              <w:spacing w:before="7" w:line="250" w:lineRule="exact"/>
              <w:ind w:left="110" w:right="371"/>
            </w:pPr>
            <w:proofErr w:type="gramStart"/>
            <w:r>
              <w:t>of</w:t>
            </w:r>
            <w:proofErr w:type="gramEnd"/>
            <w:r>
              <w:t xml:space="preserve"> D positive babies born to D negative women leading to unnecessary additional investigations.</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1166"/>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176"/>
            </w:pPr>
            <w:r>
              <w:t>D negative women with no immune anti-D have an initial FMH test at delivery and follow up testing if required, in accordance with BCSH guidelines for</w:t>
            </w:r>
          </w:p>
          <w:p w:rsidR="00AD7728" w:rsidRDefault="00AD7728" w:rsidP="00C84174">
            <w:pPr>
              <w:pStyle w:val="TableParagraph"/>
              <w:ind w:left="110"/>
            </w:pPr>
            <w:proofErr w:type="gramStart"/>
            <w:r>
              <w:t>estimation</w:t>
            </w:r>
            <w:proofErr w:type="gramEnd"/>
            <w:r>
              <w:t xml:space="preserve"> of FMH.</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r w:rsidR="00AD7728" w:rsidTr="00C84174">
        <w:trPr>
          <w:trHeight w:val="489"/>
        </w:trPr>
        <w:tc>
          <w:tcPr>
            <w:tcW w:w="2136" w:type="dxa"/>
            <w:shd w:val="clear" w:color="auto" w:fill="D9D9D9"/>
          </w:tcPr>
          <w:p w:rsidR="00AD7728" w:rsidRDefault="00AD7728" w:rsidP="00C84174">
            <w:pPr>
              <w:pStyle w:val="TableParagraph"/>
              <w:spacing w:line="243" w:lineRule="exact"/>
              <w:ind w:left="105"/>
              <w:rPr>
                <w:b/>
              </w:rPr>
            </w:pPr>
            <w:r>
              <w:rPr>
                <w:b/>
              </w:rPr>
              <w:t>Section 7</w:t>
            </w:r>
          </w:p>
        </w:tc>
        <w:tc>
          <w:tcPr>
            <w:tcW w:w="5232" w:type="dxa"/>
            <w:shd w:val="clear" w:color="auto" w:fill="D9D9D9"/>
          </w:tcPr>
          <w:p w:rsidR="00AD7728" w:rsidRDefault="00AD7728" w:rsidP="00C84174">
            <w:pPr>
              <w:pStyle w:val="TableParagraph"/>
              <w:spacing w:line="243" w:lineRule="exact"/>
              <w:ind w:left="110"/>
              <w:rPr>
                <w:b/>
              </w:rPr>
            </w:pPr>
            <w:r>
              <w:rPr>
                <w:b/>
              </w:rPr>
              <w:t>Audit</w:t>
            </w:r>
          </w:p>
        </w:tc>
        <w:tc>
          <w:tcPr>
            <w:tcW w:w="1579" w:type="dxa"/>
            <w:shd w:val="clear" w:color="auto" w:fill="D9D9D9"/>
          </w:tcPr>
          <w:p w:rsidR="00AD7728" w:rsidRDefault="00AD7728" w:rsidP="00C84174">
            <w:pPr>
              <w:pStyle w:val="TableParagraph"/>
              <w:rPr>
                <w:rFonts w:ascii="Times New Roman"/>
              </w:rPr>
            </w:pPr>
          </w:p>
        </w:tc>
        <w:tc>
          <w:tcPr>
            <w:tcW w:w="4233" w:type="dxa"/>
            <w:shd w:val="clear" w:color="auto" w:fill="D9D9D9"/>
          </w:tcPr>
          <w:p w:rsidR="00AD7728" w:rsidRDefault="00AD7728" w:rsidP="00C84174">
            <w:pPr>
              <w:pStyle w:val="TableParagraph"/>
              <w:rPr>
                <w:rFonts w:ascii="Times New Roman"/>
              </w:rPr>
            </w:pPr>
          </w:p>
        </w:tc>
        <w:tc>
          <w:tcPr>
            <w:tcW w:w="1843" w:type="dxa"/>
            <w:shd w:val="clear" w:color="auto" w:fill="D9D9D9"/>
          </w:tcPr>
          <w:p w:rsidR="00AD7728" w:rsidRDefault="00AD7728" w:rsidP="00C84174">
            <w:pPr>
              <w:pStyle w:val="TableParagraph"/>
              <w:rPr>
                <w:rFonts w:ascii="Times New Roman"/>
              </w:rPr>
            </w:pPr>
          </w:p>
        </w:tc>
      </w:tr>
      <w:tr w:rsidR="00AD7728" w:rsidTr="00C84174">
        <w:trPr>
          <w:trHeight w:val="1362"/>
        </w:trPr>
        <w:tc>
          <w:tcPr>
            <w:tcW w:w="2136" w:type="dxa"/>
          </w:tcPr>
          <w:p w:rsidR="00AD7728" w:rsidRDefault="00AD7728" w:rsidP="00C84174">
            <w:pPr>
              <w:pStyle w:val="TableParagraph"/>
              <w:rPr>
                <w:rFonts w:ascii="Times New Roman"/>
              </w:rPr>
            </w:pPr>
          </w:p>
        </w:tc>
        <w:tc>
          <w:tcPr>
            <w:tcW w:w="5232" w:type="dxa"/>
          </w:tcPr>
          <w:p w:rsidR="00AD7728" w:rsidRDefault="00AD7728" w:rsidP="00C84174">
            <w:pPr>
              <w:pStyle w:val="TableParagraph"/>
              <w:spacing w:line="276" w:lineRule="auto"/>
              <w:ind w:left="110" w:right="150"/>
            </w:pPr>
            <w:r>
              <w:t>Audits of compliance with the clinical and laboratory aspects of these guidelines are undertaken on a continuing basis and all variations or concerns addressed in a timely manner.</w:t>
            </w:r>
          </w:p>
        </w:tc>
        <w:tc>
          <w:tcPr>
            <w:tcW w:w="1579" w:type="dxa"/>
          </w:tcPr>
          <w:p w:rsidR="00AD7728" w:rsidRDefault="00AD7728" w:rsidP="00C84174">
            <w:pPr>
              <w:pStyle w:val="TableParagraph"/>
              <w:rPr>
                <w:rFonts w:ascii="Times New Roman"/>
              </w:rPr>
            </w:pPr>
          </w:p>
        </w:tc>
        <w:tc>
          <w:tcPr>
            <w:tcW w:w="4233" w:type="dxa"/>
          </w:tcPr>
          <w:p w:rsidR="00AD7728" w:rsidRDefault="00AD7728" w:rsidP="00C84174">
            <w:pPr>
              <w:pStyle w:val="TableParagraph"/>
              <w:rPr>
                <w:rFonts w:ascii="Times New Roman"/>
              </w:rPr>
            </w:pPr>
          </w:p>
        </w:tc>
        <w:tc>
          <w:tcPr>
            <w:tcW w:w="1843" w:type="dxa"/>
          </w:tcPr>
          <w:p w:rsidR="00AD7728" w:rsidRDefault="00AD7728" w:rsidP="00C84174">
            <w:pPr>
              <w:pStyle w:val="TableParagraph"/>
              <w:rPr>
                <w:rFonts w:ascii="Times New Roman"/>
              </w:rPr>
            </w:pPr>
          </w:p>
        </w:tc>
      </w:tr>
    </w:tbl>
    <w:p w:rsidR="00AD7728" w:rsidRDefault="00AD7728" w:rsidP="00AD7728">
      <w:pPr>
        <w:pStyle w:val="BodyText"/>
        <w:spacing w:line="248" w:lineRule="exact"/>
        <w:ind w:left="102"/>
      </w:pPr>
      <w:r>
        <w:t>See text of guidelines for references and the grades of evidence.</w:t>
      </w:r>
    </w:p>
    <w:p w:rsidR="007D5117" w:rsidRDefault="00AD7728"/>
    <w:sectPr w:rsidR="007D5117">
      <w:footerReference w:type="default" r:id="rId11"/>
      <w:pgSz w:w="16840" w:h="11900" w:orient="landscape"/>
      <w:pgMar w:top="1100" w:right="120" w:bottom="600" w:left="1340" w:header="0" w:footer="403"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28" w:rsidRDefault="00AD7728" w:rsidP="00AD7728">
      <w:r>
        <w:separator/>
      </w:r>
    </w:p>
  </w:endnote>
  <w:endnote w:type="continuationSeparator" w:id="0">
    <w:p w:rsidR="00AD7728" w:rsidRDefault="00AD7728" w:rsidP="00A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13" w:rsidRDefault="00AD772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9610725</wp:posOffset>
              </wp:positionH>
              <wp:positionV relativeFrom="page">
                <wp:posOffset>7110095</wp:posOffset>
              </wp:positionV>
              <wp:extent cx="192405" cy="168910"/>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56.75pt;margin-top:559.85pt;width:15.1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DYrgIAAKo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" filled="f" stroked="f">
              <v:textbox inset="0,0,0,0">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29</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4813935</wp:posOffset>
              </wp:positionH>
              <wp:positionV relativeFrom="page">
                <wp:posOffset>7253605</wp:posOffset>
              </wp:positionV>
              <wp:extent cx="840740" cy="168910"/>
              <wp:effectExtent l="381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b/>
                              <w:sz w:val="20"/>
                            </w:rPr>
                          </w:pPr>
                          <w:r>
                            <w:rPr>
                              <w:b/>
                              <w:sz w:val="20"/>
                            </w:rPr>
                            <w:t xml:space="preserve">Page </w:t>
                          </w:r>
                          <w:r>
                            <w:rPr>
                              <w:b/>
                              <w:sz w:val="20"/>
                            </w:rPr>
                            <w:t>29 of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79.05pt;margin-top:571.15pt;width:66.2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T7sA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" filled="f" stroked="f">
              <v:textbox inset="0,0,0,0">
                <w:txbxContent>
                  <w:p w:rsidR="00FE7A13" w:rsidRDefault="00AD7728">
                    <w:pPr>
                      <w:spacing w:before="15"/>
                      <w:ind w:left="20"/>
                      <w:rPr>
                        <w:b/>
                        <w:sz w:val="20"/>
                      </w:rPr>
                    </w:pPr>
                    <w:r>
                      <w:rPr>
                        <w:b/>
                        <w:sz w:val="20"/>
                      </w:rPr>
                      <w:t xml:space="preserve">Page </w:t>
                    </w:r>
                    <w:r>
                      <w:rPr>
                        <w:b/>
                        <w:sz w:val="20"/>
                      </w:rPr>
                      <w:t>29 of 34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13" w:rsidRDefault="00AD7728">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9610725</wp:posOffset>
              </wp:positionH>
              <wp:positionV relativeFrom="page">
                <wp:posOffset>7110095</wp:posOffset>
              </wp:positionV>
              <wp:extent cx="192405" cy="168910"/>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756.75pt;margin-top:559.85pt;width:15.15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" filled="f" stroked="f">
              <v:textbox inset="0,0,0,0">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30</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4813935</wp:posOffset>
              </wp:positionH>
              <wp:positionV relativeFrom="page">
                <wp:posOffset>7253605</wp:posOffset>
              </wp:positionV>
              <wp:extent cx="840740" cy="168910"/>
              <wp:effectExtent l="381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b/>
                              <w:sz w:val="20"/>
                            </w:rPr>
                          </w:pPr>
                          <w:r>
                            <w:rPr>
                              <w:b/>
                              <w:sz w:val="20"/>
                            </w:rPr>
                            <w:t>Page 30 of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9.05pt;margin-top:571.15pt;width:66.2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UasQ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" filled="f" stroked="f">
              <v:textbox inset="0,0,0,0">
                <w:txbxContent>
                  <w:p w:rsidR="00FE7A13" w:rsidRDefault="00AD7728">
                    <w:pPr>
                      <w:spacing w:before="15"/>
                      <w:ind w:left="20"/>
                      <w:rPr>
                        <w:b/>
                        <w:sz w:val="20"/>
                      </w:rPr>
                    </w:pPr>
                    <w:r>
                      <w:rPr>
                        <w:b/>
                        <w:sz w:val="20"/>
                      </w:rPr>
                      <w:t>Page 30 of 34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13" w:rsidRDefault="00AD7728">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9623425</wp:posOffset>
              </wp:positionH>
              <wp:positionV relativeFrom="page">
                <wp:posOffset>7110095</wp:posOffset>
              </wp:positionV>
              <wp:extent cx="167005" cy="168910"/>
              <wp:effectExtent l="3175" t="444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sz w:val="20"/>
                            </w:rPr>
                          </w:pPr>
                          <w:r>
                            <w:rPr>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757.75pt;margin-top:559.85pt;width:13.1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jgsAIAAK8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" filled="f" stroked="f">
              <v:textbox inset="0,0,0,0">
                <w:txbxContent>
                  <w:p w:rsidR="00FE7A13" w:rsidRDefault="00AD7728">
                    <w:pPr>
                      <w:spacing w:before="15"/>
                      <w:ind w:left="20"/>
                      <w:rPr>
                        <w:sz w:val="20"/>
                      </w:rPr>
                    </w:pPr>
                    <w:r>
                      <w:rPr>
                        <w:sz w:val="20"/>
                      </w:rPr>
                      <w:t>31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4813935</wp:posOffset>
              </wp:positionH>
              <wp:positionV relativeFrom="page">
                <wp:posOffset>7253605</wp:posOffset>
              </wp:positionV>
              <wp:extent cx="840740" cy="168910"/>
              <wp:effectExtent l="381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b/>
                              <w:sz w:val="20"/>
                            </w:rPr>
                          </w:pPr>
                          <w:r>
                            <w:rPr>
                              <w:b/>
                              <w:sz w:val="20"/>
                            </w:rPr>
                            <w:t>Page 31 of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79.05pt;margin-top:571.15pt;width:66.2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51sQIAAK8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" filled="f" stroked="f">
              <v:textbox inset="0,0,0,0">
                <w:txbxContent>
                  <w:p w:rsidR="00FE7A13" w:rsidRDefault="00AD7728">
                    <w:pPr>
                      <w:spacing w:before="15"/>
                      <w:ind w:left="20"/>
                      <w:rPr>
                        <w:b/>
                        <w:sz w:val="20"/>
                      </w:rPr>
                    </w:pPr>
                    <w:r>
                      <w:rPr>
                        <w:b/>
                        <w:sz w:val="20"/>
                      </w:rPr>
                      <w:t>Page 31 of 34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13" w:rsidRDefault="00AD7728">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9623425</wp:posOffset>
              </wp:positionH>
              <wp:positionV relativeFrom="page">
                <wp:posOffset>7110095</wp:posOffset>
              </wp:positionV>
              <wp:extent cx="167005" cy="168910"/>
              <wp:effectExtent l="3175" t="444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sz w:val="20"/>
                            </w:rPr>
                          </w:pPr>
                          <w:r>
                            <w:rPr>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57.75pt;margin-top:559.85pt;width:13.15pt;height:1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3sQIAAK8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" filled="f" stroked="f">
              <v:textbox inset="0,0,0,0">
                <w:txbxContent>
                  <w:p w:rsidR="00FE7A13" w:rsidRDefault="00AD7728">
                    <w:pPr>
                      <w:spacing w:before="15"/>
                      <w:ind w:left="20"/>
                      <w:rPr>
                        <w:sz w:val="20"/>
                      </w:rPr>
                    </w:pPr>
                    <w:r>
                      <w:rPr>
                        <w:sz w:val="20"/>
                      </w:rPr>
                      <w:t>32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4813935</wp:posOffset>
              </wp:positionH>
              <wp:positionV relativeFrom="page">
                <wp:posOffset>7253605</wp:posOffset>
              </wp:positionV>
              <wp:extent cx="840740" cy="168910"/>
              <wp:effectExtent l="381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b/>
                              <w:sz w:val="20"/>
                            </w:rPr>
                          </w:pPr>
                          <w:r>
                            <w:rPr>
                              <w:b/>
                              <w:sz w:val="20"/>
                            </w:rPr>
                            <w:t>Page 32 of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79.05pt;margin-top:571.15pt;width:66.2pt;height:1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SisAIAAK8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" filled="f" stroked="f">
              <v:textbox inset="0,0,0,0">
                <w:txbxContent>
                  <w:p w:rsidR="00FE7A13" w:rsidRDefault="00AD7728">
                    <w:pPr>
                      <w:spacing w:before="15"/>
                      <w:ind w:left="20"/>
                      <w:rPr>
                        <w:b/>
                        <w:sz w:val="20"/>
                      </w:rPr>
                    </w:pPr>
                    <w:r>
                      <w:rPr>
                        <w:b/>
                        <w:sz w:val="20"/>
                      </w:rPr>
                      <w:t>Page 32 of 34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13" w:rsidRDefault="00AD7728">
    <w:pPr>
      <w:pStyle w:val="BodyText"/>
      <w:spacing w:line="14" w:lineRule="auto"/>
      <w:rPr>
        <w:sz w:val="20"/>
      </w:rPr>
    </w:pP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9610725</wp:posOffset>
              </wp:positionH>
              <wp:positionV relativeFrom="page">
                <wp:posOffset>7110095</wp:posOffset>
              </wp:positionV>
              <wp:extent cx="192405" cy="16891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756.75pt;margin-top:559.85pt;width:15.15pt;height:1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" filled="f" stroked="f">
              <v:textbox inset="0,0,0,0">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33</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4813935</wp:posOffset>
              </wp:positionH>
              <wp:positionV relativeFrom="page">
                <wp:posOffset>7253605</wp:posOffset>
              </wp:positionV>
              <wp:extent cx="840740" cy="168910"/>
              <wp:effectExtent l="381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b/>
                              <w:sz w:val="20"/>
                            </w:rPr>
                          </w:pPr>
                          <w:r>
                            <w:rPr>
                              <w:b/>
                              <w:sz w:val="20"/>
                            </w:rPr>
                            <w:t>Page 33 of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79.05pt;margin-top:571.15pt;width:66.2pt;height:1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aZsAIAAK8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" filled="f" stroked="f">
              <v:textbox inset="0,0,0,0">
                <w:txbxContent>
                  <w:p w:rsidR="00FE7A13" w:rsidRDefault="00AD7728">
                    <w:pPr>
                      <w:spacing w:before="15"/>
                      <w:ind w:left="20"/>
                      <w:rPr>
                        <w:b/>
                        <w:sz w:val="20"/>
                      </w:rPr>
                    </w:pPr>
                    <w:r>
                      <w:rPr>
                        <w:b/>
                        <w:sz w:val="20"/>
                      </w:rPr>
                      <w:t>Page 33 of 34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13" w:rsidRDefault="00AD772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9610725</wp:posOffset>
              </wp:positionH>
              <wp:positionV relativeFrom="page">
                <wp:posOffset>7110095</wp:posOffset>
              </wp:positionV>
              <wp:extent cx="192405" cy="16891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756.75pt;margin-top:559.85pt;width:15.1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" filled="f" stroked="f">
              <v:textbox inset="0,0,0,0">
                <w:txbxContent>
                  <w:p w:rsidR="00FE7A13" w:rsidRDefault="00AD7728">
                    <w:pPr>
                      <w:spacing w:before="15"/>
                      <w:ind w:left="40"/>
                      <w:rPr>
                        <w:sz w:val="20"/>
                      </w:rPr>
                    </w:pPr>
                    <w:r>
                      <w:fldChar w:fldCharType="begin"/>
                    </w:r>
                    <w:r>
                      <w:rPr>
                        <w:sz w:val="20"/>
                      </w:rPr>
                      <w:instrText xml:space="preserve"> PAGE </w:instrText>
                    </w:r>
                    <w:r>
                      <w:fldChar w:fldCharType="separate"/>
                    </w:r>
                    <w:r>
                      <w:rPr>
                        <w:noProof/>
                        <w:sz w:val="20"/>
                      </w:rPr>
                      <w:t>34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4813935</wp:posOffset>
              </wp:positionH>
              <wp:positionV relativeFrom="page">
                <wp:posOffset>7253605</wp:posOffset>
              </wp:positionV>
              <wp:extent cx="840740" cy="168910"/>
              <wp:effectExtent l="381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13" w:rsidRDefault="00AD7728">
                          <w:pPr>
                            <w:spacing w:before="15"/>
                            <w:ind w:left="20"/>
                            <w:rPr>
                              <w:b/>
                              <w:sz w:val="20"/>
                            </w:rPr>
                          </w:pPr>
                          <w:r>
                            <w:rPr>
                              <w:b/>
                              <w:sz w:val="20"/>
                            </w:rPr>
                            <w:t>Page 34 of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79.05pt;margin-top:571.15pt;width:66.2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8F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" filled="f" stroked="f">
              <v:textbox inset="0,0,0,0">
                <w:txbxContent>
                  <w:p w:rsidR="00FE7A13" w:rsidRDefault="00AD7728">
                    <w:pPr>
                      <w:spacing w:before="15"/>
                      <w:ind w:left="20"/>
                      <w:rPr>
                        <w:b/>
                        <w:sz w:val="20"/>
                      </w:rPr>
                    </w:pPr>
                    <w:r>
                      <w:rPr>
                        <w:b/>
                        <w:sz w:val="20"/>
                      </w:rPr>
                      <w:t>Page 34 of 34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28" w:rsidRDefault="00AD7728" w:rsidP="00AD7728">
      <w:r>
        <w:separator/>
      </w:r>
    </w:p>
  </w:footnote>
  <w:footnote w:type="continuationSeparator" w:id="0">
    <w:p w:rsidR="00AD7728" w:rsidRDefault="00AD7728" w:rsidP="00AD7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28"/>
    <w:rsid w:val="000867DF"/>
    <w:rsid w:val="00AD7728"/>
    <w:rsid w:val="00C2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1FC76D4B-397D-434F-A7A0-B4AFC86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772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D7728"/>
    <w:pPr>
      <w:spacing w:before="71"/>
      <w:ind w:left="3013" w:hanging="410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7728"/>
    <w:rPr>
      <w:rFonts w:ascii="Arial" w:eastAsia="Arial" w:hAnsi="Arial" w:cs="Arial"/>
      <w:b/>
      <w:bCs/>
      <w:sz w:val="28"/>
      <w:szCs w:val="28"/>
      <w:lang w:val="en-US"/>
    </w:rPr>
  </w:style>
  <w:style w:type="paragraph" w:styleId="BodyText">
    <w:name w:val="Body Text"/>
    <w:basedOn w:val="Normal"/>
    <w:link w:val="BodyTextChar"/>
    <w:uiPriority w:val="1"/>
    <w:qFormat/>
    <w:rsid w:val="00AD7728"/>
  </w:style>
  <w:style w:type="character" w:customStyle="1" w:styleId="BodyTextChar">
    <w:name w:val="Body Text Char"/>
    <w:basedOn w:val="DefaultParagraphFont"/>
    <w:link w:val="BodyText"/>
    <w:uiPriority w:val="1"/>
    <w:rsid w:val="00AD7728"/>
    <w:rPr>
      <w:rFonts w:ascii="Arial" w:eastAsia="Arial" w:hAnsi="Arial" w:cs="Arial"/>
      <w:lang w:val="en-US"/>
    </w:rPr>
  </w:style>
  <w:style w:type="paragraph" w:customStyle="1" w:styleId="TableParagraph">
    <w:name w:val="Table Paragraph"/>
    <w:basedOn w:val="Normal"/>
    <w:uiPriority w:val="1"/>
    <w:qFormat/>
    <w:rsid w:val="00AD7728"/>
  </w:style>
  <w:style w:type="paragraph" w:styleId="Header">
    <w:name w:val="header"/>
    <w:basedOn w:val="Normal"/>
    <w:link w:val="HeaderChar"/>
    <w:uiPriority w:val="99"/>
    <w:unhideWhenUsed/>
    <w:rsid w:val="00AD7728"/>
    <w:pPr>
      <w:tabs>
        <w:tab w:val="center" w:pos="4513"/>
        <w:tab w:val="right" w:pos="9026"/>
      </w:tabs>
    </w:pPr>
  </w:style>
  <w:style w:type="character" w:customStyle="1" w:styleId="HeaderChar">
    <w:name w:val="Header Char"/>
    <w:basedOn w:val="DefaultParagraphFont"/>
    <w:link w:val="Header"/>
    <w:uiPriority w:val="99"/>
    <w:rsid w:val="00AD7728"/>
    <w:rPr>
      <w:rFonts w:ascii="Arial" w:eastAsia="Arial" w:hAnsi="Arial" w:cs="Arial"/>
      <w:lang w:val="en-US"/>
    </w:rPr>
  </w:style>
  <w:style w:type="paragraph" w:styleId="Footer">
    <w:name w:val="footer"/>
    <w:basedOn w:val="Normal"/>
    <w:link w:val="FooterChar"/>
    <w:uiPriority w:val="99"/>
    <w:unhideWhenUsed/>
    <w:rsid w:val="00AD7728"/>
    <w:pPr>
      <w:tabs>
        <w:tab w:val="center" w:pos="4513"/>
        <w:tab w:val="right" w:pos="9026"/>
      </w:tabs>
    </w:pPr>
  </w:style>
  <w:style w:type="character" w:customStyle="1" w:styleId="FooterChar">
    <w:name w:val="Footer Char"/>
    <w:basedOn w:val="DefaultParagraphFont"/>
    <w:link w:val="Footer"/>
    <w:uiPriority w:val="99"/>
    <w:rsid w:val="00AD772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Gupta</dc:creator>
  <cp:keywords/>
  <dc:description/>
  <cp:lastModifiedBy>Rita Gupta</cp:lastModifiedBy>
  <cp:revision>1</cp:revision>
  <dcterms:created xsi:type="dcterms:W3CDTF">2018-01-31T16:34:00Z</dcterms:created>
  <dcterms:modified xsi:type="dcterms:W3CDTF">2018-01-31T16:36:00Z</dcterms:modified>
</cp:coreProperties>
</file>